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shd w:val="clear" w:color="auto"/>
        <w:spacing w:line="580" w:lineRule="atLeast"/>
        <w:jc w:val="center"/>
        <w:outlineLvl w:val="0"/>
        <w:rPr>
          <w:rFonts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pPr>
      <w:bookmarkStart w:id="0" w:name="_Toc18918"/>
      <w: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t>广元市公安局交通警察支队</w:t>
      </w:r>
      <w:bookmarkEnd w:id="0"/>
    </w:p>
    <w:p>
      <w:pPr>
        <w:widowControl/>
        <w:shd w:val="clear" w:color="auto"/>
        <w:spacing w:line="580" w:lineRule="atLeast"/>
        <w:jc w:val="cente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sectPr>
          <w:headerReference r:id="rId3" w:type="default"/>
          <w:footerReference r:id="rId4" w:type="default"/>
          <w:pgSz w:w="11906" w:h="16838"/>
          <w:pgMar w:top="2098" w:right="1474" w:bottom="1984" w:left="1587" w:header="720" w:footer="1559" w:gutter="0"/>
          <w:cols w:space="720" w:num="1"/>
          <w:docGrid w:type="lines" w:linePitch="312" w:charSpace="0"/>
        </w:sectPr>
      </w:pPr>
      <w: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t>2024年部门预算编制说明</w:t>
      </w:r>
    </w:p>
    <w:sdt>
      <w:sdtPr>
        <w:rPr>
          <w:rFonts w:ascii="宋体" w:hAnsi="宋体" w:eastAsia="宋体" w:cs="Times New Roman"/>
          <w:kern w:val="2"/>
          <w:sz w:val="21"/>
          <w:szCs w:val="24"/>
          <w:lang w:val="en-US" w:eastAsia="zh-CN" w:bidi="ar-SA"/>
        </w:rPr>
        <w:id w:val="147475411"/>
        <w15:color w:val="DBDBDB"/>
        <w:docPartObj>
          <w:docPartGallery w:val="Table of Contents"/>
          <w:docPartUnique/>
        </w:docPartObj>
      </w:sdtPr>
      <w:sdtEndPr>
        <w:rPr>
          <w:rFonts w:hint="eastAsia" w:ascii="方正小标宋简体" w:hAnsi="方正小标宋简体" w:eastAsia="方正小标宋简体" w:cs="方正小标宋简体"/>
          <w:b/>
          <w:color w:val="000000" w:themeColor="text1"/>
          <w:kern w:val="0"/>
          <w:sz w:val="21"/>
          <w:szCs w:val="44"/>
          <w:shd w:val="clear" w:color="auto" w:fill="FFFFFF"/>
          <w:lang w:val="en-US" w:eastAsia="zh-CN" w:bidi="ar-SA"/>
          <w14:textFill>
            <w14:solidFill>
              <w14:schemeClr w14:val="tx1"/>
            </w14:solidFill>
          </w14:textFill>
        </w:rPr>
      </w:sdtEndPr>
      <w:sdtContent>
        <w:p>
          <w:pPr>
            <w:spacing w:before="0" w:beforeLines="0" w:after="0" w:afterLines="0" w:line="360" w:lineRule="auto"/>
            <w:ind w:left="0" w:leftChars="0" w:right="0" w:rightChars="0" w:firstLine="0" w:firstLineChars="0"/>
            <w:jc w:val="center"/>
          </w:pPr>
          <w:r>
            <w:rPr>
              <w:rFonts w:ascii="宋体" w:hAnsi="宋体" w:eastAsia="宋体"/>
              <w:sz w:val="21"/>
            </w:rPr>
            <w:t>目录</w:t>
          </w:r>
        </w:p>
        <w:p>
          <w:pPr>
            <w:pStyle w:val="13"/>
            <w:tabs>
              <w:tab w:val="right" w:leader="dot" w:pos="8845"/>
            </w:tabs>
            <w:spacing w:line="360" w:lineRule="auto"/>
            <w:rPr>
              <w:b/>
            </w:rPr>
          </w:pPr>
          <w: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instrText xml:space="preserve">TOC \o "1-2" \h \u </w:instrText>
          </w:r>
          <w:r>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fldChar w:fldCharType="separate"/>
          </w: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rPr>
            <w:instrText xml:space="preserve"> HYPERLINK \l _Toc31896 </w:instrText>
          </w:r>
          <w:r>
            <w:rPr>
              <w:rFonts w:hint="eastAsia" w:ascii="方正小标宋简体" w:hAnsi="方正小标宋简体" w:eastAsia="方正小标宋简体" w:cs="方正小标宋简体"/>
              <w:b/>
              <w:kern w:val="0"/>
              <w:szCs w:val="44"/>
              <w:shd w:val="clear" w:color="auto" w:fill="FFFFFF"/>
            </w:rPr>
            <w:fldChar w:fldCharType="separate"/>
          </w:r>
          <w:r>
            <w:rPr>
              <w:rFonts w:hint="eastAsia" w:ascii="黑体" w:hAnsi="黑体" w:eastAsia="黑体" w:cs="黑体"/>
              <w:b/>
              <w:szCs w:val="32"/>
            </w:rPr>
            <w:t>一、基本职能及主要工作</w:t>
          </w:r>
          <w:r>
            <w:rPr>
              <w:b/>
            </w:rPr>
            <w:tab/>
          </w:r>
          <w:r>
            <w:rPr>
              <w:b/>
            </w:rPr>
            <w:fldChar w:fldCharType="begin"/>
          </w:r>
          <w:r>
            <w:rPr>
              <w:b/>
            </w:rPr>
            <w:instrText xml:space="preserve"> PAGEREF _Toc31896 \h </w:instrText>
          </w:r>
          <w:r>
            <w:rPr>
              <w:b/>
            </w:rPr>
            <w:fldChar w:fldCharType="separate"/>
          </w:r>
          <w:r>
            <w:rPr>
              <w:b/>
            </w:rPr>
            <w:t>3</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rPr>
            <w:instrText xml:space="preserve"> HYPERLINK \l _Toc18255 </w:instrText>
          </w:r>
          <w:r>
            <w:rPr>
              <w:rFonts w:hint="eastAsia" w:ascii="方正小标宋简体" w:hAnsi="方正小标宋简体" w:eastAsia="方正小标宋简体" w:cs="方正小标宋简体"/>
              <w:kern w:val="0"/>
              <w:szCs w:val="44"/>
              <w:shd w:val="clear" w:color="auto" w:fill="FFFFFF"/>
            </w:rPr>
            <w:fldChar w:fldCharType="separate"/>
          </w:r>
          <w:r>
            <w:rPr>
              <w:rFonts w:hint="eastAsia" w:ascii="楷体_GB2312" w:eastAsia="楷体_GB2312"/>
              <w:szCs w:val="32"/>
            </w:rPr>
            <w:t>（一）广元市公安局交通警察支队职能简介</w:t>
          </w:r>
          <w:r>
            <w:tab/>
          </w:r>
          <w:r>
            <w:fldChar w:fldCharType="begin"/>
          </w:r>
          <w:r>
            <w:instrText xml:space="preserve"> PAGEREF _Toc18255 \h </w:instrText>
          </w:r>
          <w:r>
            <w:fldChar w:fldCharType="separate"/>
          </w:r>
          <w:r>
            <w:t>3</w:t>
          </w:r>
          <w:r>
            <w:fldChar w:fldCharType="end"/>
          </w: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rPr>
            <w:instrText xml:space="preserve"> HYPERLINK \l _Toc13624 </w:instrText>
          </w:r>
          <w:r>
            <w:rPr>
              <w:rFonts w:hint="eastAsia" w:ascii="方正小标宋简体" w:hAnsi="方正小标宋简体" w:eastAsia="方正小标宋简体" w:cs="方正小标宋简体"/>
              <w:kern w:val="0"/>
              <w:szCs w:val="44"/>
              <w:shd w:val="clear" w:color="auto" w:fill="FFFFFF"/>
            </w:rPr>
            <w:fldChar w:fldCharType="separate"/>
          </w:r>
          <w:r>
            <w:rPr>
              <w:rFonts w:hint="eastAsia" w:ascii="楷体_GB2312" w:hAnsi="楷体_GB2312" w:eastAsia="楷体_GB2312" w:cs="楷体_GB2312"/>
              <w:szCs w:val="32"/>
            </w:rPr>
            <w:t xml:space="preserve">（二） </w:t>
          </w:r>
          <w:r>
            <w:rPr>
              <w:rFonts w:hint="eastAsia" w:ascii="楷体_GB2312" w:eastAsia="楷体_GB2312"/>
              <w:szCs w:val="32"/>
            </w:rPr>
            <w:t>广元市公安局交通警察支队</w:t>
          </w:r>
          <w:r>
            <w:rPr>
              <w:rFonts w:hint="eastAsia" w:ascii="楷体_GB2312" w:hAnsi="楷体_GB2312" w:eastAsia="楷体_GB2312" w:cs="楷体_GB2312"/>
              <w:szCs w:val="32"/>
            </w:rPr>
            <w:t>2024年重点工作</w:t>
          </w:r>
          <w:r>
            <w:tab/>
          </w:r>
          <w:r>
            <w:fldChar w:fldCharType="begin"/>
          </w:r>
          <w:r>
            <w:instrText xml:space="preserve"> PAGEREF _Toc13624 \h </w:instrText>
          </w:r>
          <w:r>
            <w:fldChar w:fldCharType="separate"/>
          </w:r>
          <w:r>
            <w:t>3</w:t>
          </w:r>
          <w:r>
            <w:fldChar w:fldCharType="end"/>
          </w: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rPr>
            <w:instrText xml:space="preserve"> HYPERLINK \l _Toc24063 </w:instrText>
          </w:r>
          <w:r>
            <w:rPr>
              <w:rFonts w:hint="eastAsia" w:ascii="方正小标宋简体" w:hAnsi="方正小标宋简体" w:eastAsia="方正小标宋简体" w:cs="方正小标宋简体"/>
              <w:b/>
              <w:kern w:val="0"/>
              <w:szCs w:val="44"/>
              <w:shd w:val="clear" w:color="auto" w:fill="FFFFFF"/>
            </w:rPr>
            <w:fldChar w:fldCharType="separate"/>
          </w:r>
          <w:r>
            <w:rPr>
              <w:rFonts w:hint="eastAsia" w:ascii="黑体" w:hAnsi="黑体" w:eastAsia="黑体" w:cs="黑体"/>
              <w:b/>
              <w:szCs w:val="32"/>
            </w:rPr>
            <w:t>二、部门预算单位构成</w:t>
          </w:r>
          <w:r>
            <w:rPr>
              <w:b/>
            </w:rPr>
            <w:tab/>
          </w:r>
          <w:r>
            <w:rPr>
              <w:b/>
            </w:rPr>
            <w:fldChar w:fldCharType="begin"/>
          </w:r>
          <w:r>
            <w:rPr>
              <w:b/>
            </w:rPr>
            <w:instrText xml:space="preserve"> PAGEREF _Toc24063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rPr>
            <w:instrText xml:space="preserve"> HYPERLINK \l _Toc13845 </w:instrText>
          </w:r>
          <w:r>
            <w:rPr>
              <w:rFonts w:hint="eastAsia" w:ascii="方正小标宋简体" w:hAnsi="方正小标宋简体" w:eastAsia="方正小标宋简体" w:cs="方正小标宋简体"/>
              <w:b/>
              <w:kern w:val="0"/>
              <w:szCs w:val="44"/>
              <w:shd w:val="clear" w:color="auto" w:fill="FFFFFF"/>
            </w:rPr>
            <w:fldChar w:fldCharType="separate"/>
          </w:r>
          <w:r>
            <w:rPr>
              <w:rFonts w:hint="eastAsia" w:ascii="黑体" w:hAnsi="黑体" w:eastAsia="黑体" w:cs="黑体"/>
              <w:b/>
              <w:szCs w:val="32"/>
            </w:rPr>
            <w:t>三、收支预算情况说明</w:t>
          </w:r>
          <w:r>
            <w:rPr>
              <w:b/>
            </w:rPr>
            <w:tab/>
          </w:r>
          <w:r>
            <w:rPr>
              <w:b/>
            </w:rPr>
            <w:fldChar w:fldCharType="begin"/>
          </w:r>
          <w:r>
            <w:rPr>
              <w:b/>
            </w:rPr>
            <w:instrText xml:space="preserve"> PAGEREF _Toc13845 \h </w:instrText>
          </w:r>
          <w:r>
            <w:rPr>
              <w:b/>
            </w:rPr>
            <w:fldChar w:fldCharType="separate"/>
          </w:r>
          <w:r>
            <w:rPr>
              <w:b/>
            </w:rPr>
            <w:t>8</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rPr>
            <w:instrText xml:space="preserve"> HYPERLINK \l _Toc30916 </w:instrText>
          </w:r>
          <w:r>
            <w:rPr>
              <w:rFonts w:hint="eastAsia" w:ascii="方正小标宋简体" w:hAnsi="方正小标宋简体" w:eastAsia="方正小标宋简体" w:cs="方正小标宋简体"/>
              <w:kern w:val="0"/>
              <w:szCs w:val="44"/>
              <w:shd w:val="clear" w:color="auto" w:fill="FFFFFF"/>
            </w:rPr>
            <w:fldChar w:fldCharType="separate"/>
          </w:r>
          <w:r>
            <w:rPr>
              <w:rFonts w:hint="eastAsia" w:ascii="楷体_GB2312" w:hAnsi="楷体_GB2312" w:eastAsia="楷体_GB2312" w:cs="楷体_GB2312"/>
              <w:szCs w:val="32"/>
            </w:rPr>
            <w:t>（一）收入预算情况</w:t>
          </w:r>
          <w:r>
            <w:tab/>
          </w:r>
          <w:r>
            <w:fldChar w:fldCharType="begin"/>
          </w:r>
          <w:r>
            <w:instrText xml:space="preserve"> PAGEREF _Toc30916 \h </w:instrText>
          </w:r>
          <w:r>
            <w:fldChar w:fldCharType="separate"/>
          </w:r>
          <w:r>
            <w:t>9</w:t>
          </w:r>
          <w:r>
            <w:fldChar w:fldCharType="end"/>
          </w: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rPr>
            <w:instrText xml:space="preserve"> HYPERLINK \l _Toc18775 </w:instrText>
          </w:r>
          <w:r>
            <w:rPr>
              <w:rFonts w:hint="eastAsia" w:ascii="方正小标宋简体" w:hAnsi="方正小标宋简体" w:eastAsia="方正小标宋简体" w:cs="方正小标宋简体"/>
              <w:kern w:val="0"/>
              <w:szCs w:val="44"/>
              <w:shd w:val="clear" w:color="auto" w:fill="FFFFFF"/>
            </w:rPr>
            <w:fldChar w:fldCharType="separate"/>
          </w:r>
          <w:r>
            <w:rPr>
              <w:rFonts w:hint="eastAsia" w:ascii="楷体_GB2312" w:hAnsi="楷体_GB2312" w:eastAsia="楷体_GB2312" w:cs="楷体_GB2312"/>
              <w:szCs w:val="32"/>
            </w:rPr>
            <w:t>（二）支出预算情况</w:t>
          </w:r>
          <w:r>
            <w:tab/>
          </w:r>
          <w:r>
            <w:fldChar w:fldCharType="begin"/>
          </w:r>
          <w:r>
            <w:instrText xml:space="preserve"> PAGEREF _Toc18775 \h </w:instrText>
          </w:r>
          <w:r>
            <w:fldChar w:fldCharType="separate"/>
          </w:r>
          <w:r>
            <w:t>9</w:t>
          </w:r>
          <w:r>
            <w:fldChar w:fldCharType="end"/>
          </w: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rPr>
            <w:instrText xml:space="preserve"> HYPERLINK \l _Toc24939 </w:instrText>
          </w:r>
          <w:r>
            <w:rPr>
              <w:rFonts w:hint="eastAsia" w:ascii="方正小标宋简体" w:hAnsi="方正小标宋简体" w:eastAsia="方正小标宋简体" w:cs="方正小标宋简体"/>
              <w:b/>
              <w:kern w:val="0"/>
              <w:szCs w:val="44"/>
              <w:shd w:val="clear" w:color="auto" w:fill="FFFFFF"/>
            </w:rPr>
            <w:fldChar w:fldCharType="separate"/>
          </w:r>
          <w:r>
            <w:rPr>
              <w:rFonts w:hint="eastAsia" w:ascii="黑体" w:hAnsi="黑体" w:eastAsia="黑体" w:cs="黑体"/>
              <w:b/>
              <w:szCs w:val="32"/>
            </w:rPr>
            <w:t>四、财政拨款收支预算情况说明</w:t>
          </w:r>
          <w:r>
            <w:rPr>
              <w:b/>
            </w:rPr>
            <w:tab/>
          </w:r>
          <w:r>
            <w:rPr>
              <w:b/>
            </w:rPr>
            <w:fldChar w:fldCharType="begin"/>
          </w:r>
          <w:r>
            <w:rPr>
              <w:b/>
            </w:rPr>
            <w:instrText xml:space="preserve"> PAGEREF _Toc24939 \h </w:instrText>
          </w:r>
          <w:r>
            <w:rPr>
              <w:b/>
            </w:rPr>
            <w:fldChar w:fldCharType="separate"/>
          </w:r>
          <w:r>
            <w:rPr>
              <w:b/>
            </w:rPr>
            <w:t>9</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rPr>
            <w:instrText xml:space="preserve"> HYPERLINK \l _Toc16568 </w:instrText>
          </w:r>
          <w:r>
            <w:rPr>
              <w:rFonts w:hint="eastAsia" w:ascii="方正小标宋简体" w:hAnsi="方正小标宋简体" w:eastAsia="方正小标宋简体" w:cs="方正小标宋简体"/>
              <w:b/>
              <w:kern w:val="0"/>
              <w:szCs w:val="44"/>
              <w:shd w:val="clear" w:color="auto" w:fill="FFFFFF"/>
            </w:rPr>
            <w:fldChar w:fldCharType="separate"/>
          </w:r>
          <w:r>
            <w:rPr>
              <w:rFonts w:hint="eastAsia" w:ascii="黑体" w:hAnsi="黑体" w:eastAsia="黑体" w:cs="黑体"/>
              <w:b/>
              <w:szCs w:val="32"/>
            </w:rPr>
            <w:t>五、一般公共预算当年拨款情况说明</w:t>
          </w:r>
          <w:r>
            <w:rPr>
              <w:b/>
            </w:rPr>
            <w:tab/>
          </w:r>
          <w:r>
            <w:rPr>
              <w:b/>
            </w:rPr>
            <w:fldChar w:fldCharType="begin"/>
          </w:r>
          <w:r>
            <w:rPr>
              <w:b/>
            </w:rPr>
            <w:instrText xml:space="preserve"> PAGEREF _Toc16568 \h </w:instrText>
          </w:r>
          <w:r>
            <w:rPr>
              <w:b/>
            </w:rPr>
            <w:fldChar w:fldCharType="separate"/>
          </w:r>
          <w:r>
            <w:rPr>
              <w:b/>
            </w:rPr>
            <w:t>10</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rPr>
            <w:instrText xml:space="preserve"> HYPERLINK \l _Toc7521 </w:instrText>
          </w:r>
          <w:r>
            <w:rPr>
              <w:rFonts w:hint="eastAsia" w:ascii="方正小标宋简体" w:hAnsi="方正小标宋简体" w:eastAsia="方正小标宋简体" w:cs="方正小标宋简体"/>
              <w:kern w:val="0"/>
              <w:szCs w:val="44"/>
              <w:shd w:val="clear" w:color="auto" w:fill="FFFFFF"/>
            </w:rPr>
            <w:fldChar w:fldCharType="separate"/>
          </w:r>
          <w:r>
            <w:rPr>
              <w:rFonts w:hint="eastAsia" w:ascii="楷体_GB2312" w:hAnsi="楷体_GB2312" w:eastAsia="楷体_GB2312" w:cs="楷体_GB2312"/>
              <w:szCs w:val="32"/>
            </w:rPr>
            <w:t>（一）一般公共预算当年拨款规模变化情况</w:t>
          </w:r>
          <w:r>
            <w:tab/>
          </w:r>
          <w:r>
            <w:fldChar w:fldCharType="begin"/>
          </w:r>
          <w:r>
            <w:instrText xml:space="preserve"> PAGEREF _Toc7521 \h </w:instrText>
          </w:r>
          <w:r>
            <w:fldChar w:fldCharType="separate"/>
          </w:r>
          <w:r>
            <w:t>10</w:t>
          </w:r>
          <w:r>
            <w:fldChar w:fldCharType="end"/>
          </w: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rPr>
            <w:instrText xml:space="preserve"> HYPERLINK \l _Toc1063 </w:instrText>
          </w:r>
          <w:r>
            <w:rPr>
              <w:rFonts w:hint="eastAsia" w:ascii="方正小标宋简体" w:hAnsi="方正小标宋简体" w:eastAsia="方正小标宋简体" w:cs="方正小标宋简体"/>
              <w:kern w:val="0"/>
              <w:szCs w:val="44"/>
              <w:shd w:val="clear" w:color="auto" w:fill="FFFFFF"/>
            </w:rPr>
            <w:fldChar w:fldCharType="separate"/>
          </w:r>
          <w:r>
            <w:rPr>
              <w:rFonts w:hint="eastAsia" w:ascii="楷体_GB2312" w:hAnsi="楷体_GB2312" w:eastAsia="楷体_GB2312" w:cs="楷体_GB2312"/>
              <w:szCs w:val="32"/>
            </w:rPr>
            <w:t>（二）一般公共预算当年拨款结构情况</w:t>
          </w:r>
          <w:r>
            <w:tab/>
          </w:r>
          <w:r>
            <w:fldChar w:fldCharType="begin"/>
          </w:r>
          <w:r>
            <w:instrText xml:space="preserve"> PAGEREF _Toc1063 \h </w:instrText>
          </w:r>
          <w:r>
            <w:fldChar w:fldCharType="separate"/>
          </w:r>
          <w:r>
            <w:t>10</w:t>
          </w:r>
          <w:r>
            <w:fldChar w:fldCharType="end"/>
          </w: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rPr>
            <w:instrText xml:space="preserve"> HYPERLINK \l _Toc21577 </w:instrText>
          </w:r>
          <w:r>
            <w:rPr>
              <w:rFonts w:hint="eastAsia" w:ascii="方正小标宋简体" w:hAnsi="方正小标宋简体" w:eastAsia="方正小标宋简体" w:cs="方正小标宋简体"/>
              <w:kern w:val="0"/>
              <w:szCs w:val="44"/>
              <w:shd w:val="clear" w:color="auto" w:fill="FFFFFF"/>
            </w:rPr>
            <w:fldChar w:fldCharType="separate"/>
          </w:r>
          <w:r>
            <w:rPr>
              <w:rFonts w:hint="eastAsia" w:ascii="楷体_GB2312" w:hAnsi="楷体_GB2312" w:eastAsia="楷体_GB2312" w:cs="楷体_GB2312"/>
              <w:szCs w:val="32"/>
            </w:rPr>
            <w:t>（三）一般公共预算当年拨款具体使用情况</w:t>
          </w:r>
          <w:r>
            <w:tab/>
          </w:r>
          <w:r>
            <w:fldChar w:fldCharType="begin"/>
          </w:r>
          <w:r>
            <w:instrText xml:space="preserve"> PAGEREF _Toc21577 \h </w:instrText>
          </w:r>
          <w:r>
            <w:fldChar w:fldCharType="separate"/>
          </w:r>
          <w:r>
            <w:t>10</w:t>
          </w:r>
          <w:r>
            <w:fldChar w:fldCharType="end"/>
          </w: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rPr>
            <w:instrText xml:space="preserve"> HYPERLINK \l _Toc9848 </w:instrText>
          </w:r>
          <w:r>
            <w:rPr>
              <w:rFonts w:hint="eastAsia" w:ascii="方正小标宋简体" w:hAnsi="方正小标宋简体" w:eastAsia="方正小标宋简体" w:cs="方正小标宋简体"/>
              <w:b/>
              <w:kern w:val="0"/>
              <w:szCs w:val="44"/>
              <w:shd w:val="clear" w:color="auto" w:fill="FFFFFF"/>
            </w:rPr>
            <w:fldChar w:fldCharType="separate"/>
          </w:r>
          <w:r>
            <w:rPr>
              <w:rFonts w:hint="eastAsia" w:ascii="黑体" w:hAnsi="黑体" w:eastAsia="黑体" w:cs="黑体"/>
              <w:b/>
              <w:szCs w:val="32"/>
            </w:rPr>
            <w:t>六、一般公共预算基本支出情况说明</w:t>
          </w:r>
          <w:r>
            <w:rPr>
              <w:b/>
            </w:rPr>
            <w:tab/>
          </w:r>
          <w:r>
            <w:rPr>
              <w:b/>
            </w:rPr>
            <w:fldChar w:fldCharType="begin"/>
          </w:r>
          <w:r>
            <w:rPr>
              <w:b/>
            </w:rPr>
            <w:instrText xml:space="preserve"> PAGEREF _Toc9848 \h </w:instrText>
          </w:r>
          <w:r>
            <w:rPr>
              <w:b/>
            </w:rPr>
            <w:fldChar w:fldCharType="separate"/>
          </w:r>
          <w:r>
            <w:rPr>
              <w:b/>
            </w:rPr>
            <w:t>11</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rPr>
            <w:instrText xml:space="preserve"> HYPERLINK \l _Toc14423 </w:instrText>
          </w:r>
          <w:r>
            <w:rPr>
              <w:rFonts w:hint="eastAsia" w:ascii="方正小标宋简体" w:hAnsi="方正小标宋简体" w:eastAsia="方正小标宋简体" w:cs="方正小标宋简体"/>
              <w:b/>
              <w:kern w:val="0"/>
              <w:szCs w:val="44"/>
              <w:shd w:val="clear" w:color="auto" w:fill="FFFFFF"/>
            </w:rPr>
            <w:fldChar w:fldCharType="separate"/>
          </w:r>
          <w:r>
            <w:rPr>
              <w:rFonts w:hint="eastAsia" w:ascii="黑体" w:hAnsi="黑体" w:eastAsia="黑体" w:cs="黑体"/>
              <w:b/>
              <w:szCs w:val="32"/>
            </w:rPr>
            <w:t>七、“三公”经费财政拨款预算安排情况说明</w:t>
          </w:r>
          <w:r>
            <w:rPr>
              <w:b/>
            </w:rPr>
            <w:tab/>
          </w:r>
          <w:r>
            <w:rPr>
              <w:b/>
            </w:rPr>
            <w:fldChar w:fldCharType="begin"/>
          </w:r>
          <w:r>
            <w:rPr>
              <w:b/>
            </w:rPr>
            <w:instrText xml:space="preserve"> PAGEREF _Toc14423 \h </w:instrText>
          </w:r>
          <w:r>
            <w:rPr>
              <w:b/>
            </w:rPr>
            <w:fldChar w:fldCharType="separate"/>
          </w:r>
          <w:r>
            <w:rPr>
              <w:b/>
            </w:rPr>
            <w:t>12</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rPr>
            <w:instrText xml:space="preserve"> HYPERLINK \l _Toc14565 </w:instrText>
          </w:r>
          <w:r>
            <w:rPr>
              <w:rFonts w:hint="eastAsia" w:ascii="方正小标宋简体" w:hAnsi="方正小标宋简体" w:eastAsia="方正小标宋简体" w:cs="方正小标宋简体"/>
              <w:kern w:val="0"/>
              <w:szCs w:val="44"/>
              <w:shd w:val="clear" w:color="auto" w:fill="FFFFFF"/>
            </w:rPr>
            <w:fldChar w:fldCharType="separate"/>
          </w:r>
          <w:r>
            <w:rPr>
              <w:rFonts w:hint="eastAsia" w:ascii="楷体_GB2312" w:eastAsia="楷体_GB2312"/>
              <w:szCs w:val="32"/>
            </w:rPr>
            <w:t>（一） 公务接待费</w:t>
          </w:r>
          <w:r>
            <w:tab/>
          </w:r>
          <w:r>
            <w:fldChar w:fldCharType="begin"/>
          </w:r>
          <w:r>
            <w:instrText xml:space="preserve"> PAGEREF _Toc14565 \h </w:instrText>
          </w:r>
          <w:r>
            <w:fldChar w:fldCharType="separate"/>
          </w:r>
          <w:r>
            <w:t>12</w:t>
          </w:r>
          <w:r>
            <w:fldChar w:fldCharType="end"/>
          </w: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rPr>
            <w:instrText xml:space="preserve"> HYPERLINK \l _Toc26225 </w:instrText>
          </w:r>
          <w:r>
            <w:rPr>
              <w:rFonts w:hint="eastAsia" w:ascii="方正小标宋简体" w:hAnsi="方正小标宋简体" w:eastAsia="方正小标宋简体" w:cs="方正小标宋简体"/>
              <w:kern w:val="0"/>
              <w:szCs w:val="44"/>
              <w:shd w:val="clear" w:color="auto" w:fill="FFFFFF"/>
            </w:rPr>
            <w:fldChar w:fldCharType="separate"/>
          </w:r>
          <w:r>
            <w:rPr>
              <w:rFonts w:hint="eastAsia" w:ascii="楷体_GB2312" w:eastAsia="楷体_GB2312"/>
              <w:szCs w:val="32"/>
            </w:rPr>
            <w:t>（二） 公务用车购置及运行维护费</w:t>
          </w:r>
          <w:r>
            <w:tab/>
          </w:r>
          <w:r>
            <w:fldChar w:fldCharType="begin"/>
          </w:r>
          <w:r>
            <w:instrText xml:space="preserve"> PAGEREF _Toc26225 \h </w:instrText>
          </w:r>
          <w:r>
            <w:fldChar w:fldCharType="separate"/>
          </w:r>
          <w:r>
            <w:t>12</w:t>
          </w:r>
          <w:r>
            <w:fldChar w:fldCharType="end"/>
          </w: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rPr>
            <w:instrText xml:space="preserve"> HYPERLINK \l _Toc6939 </w:instrText>
          </w:r>
          <w:r>
            <w:rPr>
              <w:rFonts w:hint="eastAsia" w:ascii="方正小标宋简体" w:hAnsi="方正小标宋简体" w:eastAsia="方正小标宋简体" w:cs="方正小标宋简体"/>
              <w:kern w:val="0"/>
              <w:szCs w:val="44"/>
              <w:shd w:val="clear" w:color="auto" w:fill="FFFFFF"/>
            </w:rPr>
            <w:fldChar w:fldCharType="separate"/>
          </w:r>
          <w:r>
            <w:rPr>
              <w:rFonts w:hint="eastAsia" w:ascii="楷体_GB2312" w:hAnsi="楷体_GB2312" w:eastAsia="楷体_GB2312" w:cs="楷体_GB2312"/>
              <w:szCs w:val="32"/>
            </w:rPr>
            <w:t>（三） 因公出国（境）经费</w:t>
          </w:r>
          <w:r>
            <w:tab/>
          </w:r>
          <w:r>
            <w:fldChar w:fldCharType="begin"/>
          </w:r>
          <w:r>
            <w:instrText xml:space="preserve"> PAGEREF _Toc6939 \h </w:instrText>
          </w:r>
          <w:r>
            <w:fldChar w:fldCharType="separate"/>
          </w:r>
          <w:r>
            <w:t>12</w:t>
          </w:r>
          <w:r>
            <w:fldChar w:fldCharType="end"/>
          </w: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rPr>
            <w:instrText xml:space="preserve"> HYPERLINK \l _Toc9314 </w:instrText>
          </w:r>
          <w:r>
            <w:rPr>
              <w:rFonts w:hint="eastAsia" w:ascii="方正小标宋简体" w:hAnsi="方正小标宋简体" w:eastAsia="方正小标宋简体" w:cs="方正小标宋简体"/>
              <w:b/>
              <w:kern w:val="0"/>
              <w:szCs w:val="44"/>
              <w:shd w:val="clear" w:color="auto" w:fill="FFFFFF"/>
            </w:rPr>
            <w:fldChar w:fldCharType="separate"/>
          </w:r>
          <w:r>
            <w:rPr>
              <w:rFonts w:hint="eastAsia" w:ascii="黑体" w:hAnsi="黑体" w:eastAsia="黑体" w:cs="黑体"/>
              <w:b/>
              <w:szCs w:val="32"/>
            </w:rPr>
            <w:t>八、政府性基金预算支出情况说明</w:t>
          </w:r>
          <w:r>
            <w:rPr>
              <w:b/>
            </w:rPr>
            <w:tab/>
          </w:r>
          <w:r>
            <w:rPr>
              <w:b/>
            </w:rPr>
            <w:fldChar w:fldCharType="begin"/>
          </w:r>
          <w:r>
            <w:rPr>
              <w:b/>
            </w:rPr>
            <w:instrText xml:space="preserve"> PAGEREF _Toc9314 \h </w:instrText>
          </w:r>
          <w:r>
            <w:rPr>
              <w:b/>
            </w:rPr>
            <w:fldChar w:fldCharType="separate"/>
          </w:r>
          <w:r>
            <w:rPr>
              <w:b/>
            </w:rPr>
            <w:t>13</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rPr>
            <w:instrText xml:space="preserve"> HYPERLINK \l _Toc13609 </w:instrText>
          </w:r>
          <w:r>
            <w:rPr>
              <w:rFonts w:hint="eastAsia" w:ascii="方正小标宋简体" w:hAnsi="方正小标宋简体" w:eastAsia="方正小标宋简体" w:cs="方正小标宋简体"/>
              <w:b/>
              <w:kern w:val="0"/>
              <w:szCs w:val="44"/>
              <w:shd w:val="clear" w:color="auto" w:fill="FFFFFF"/>
            </w:rPr>
            <w:fldChar w:fldCharType="separate"/>
          </w:r>
          <w:r>
            <w:rPr>
              <w:rFonts w:hint="eastAsia" w:ascii="黑体" w:hAnsi="黑体" w:eastAsia="黑体" w:cs="黑体"/>
              <w:b/>
              <w:szCs w:val="32"/>
            </w:rPr>
            <w:t>九、国有资本经营预算支出情况说明</w:t>
          </w:r>
          <w:r>
            <w:rPr>
              <w:b/>
            </w:rPr>
            <w:tab/>
          </w:r>
          <w:r>
            <w:rPr>
              <w:b/>
            </w:rPr>
            <w:fldChar w:fldCharType="begin"/>
          </w:r>
          <w:r>
            <w:rPr>
              <w:b/>
            </w:rPr>
            <w:instrText xml:space="preserve"> PAGEREF _Toc13609 \h </w:instrText>
          </w:r>
          <w:r>
            <w:rPr>
              <w:b/>
            </w:rPr>
            <w:fldChar w:fldCharType="separate"/>
          </w:r>
          <w:r>
            <w:rPr>
              <w:b/>
            </w:rPr>
            <w:t>13</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rPr>
            <w:instrText xml:space="preserve"> HYPERLINK \l _Toc21930 </w:instrText>
          </w:r>
          <w:r>
            <w:rPr>
              <w:rFonts w:hint="eastAsia" w:ascii="方正小标宋简体" w:hAnsi="方正小标宋简体" w:eastAsia="方正小标宋简体" w:cs="方正小标宋简体"/>
              <w:b/>
              <w:kern w:val="0"/>
              <w:szCs w:val="44"/>
              <w:shd w:val="clear" w:color="auto" w:fill="FFFFFF"/>
            </w:rPr>
            <w:fldChar w:fldCharType="separate"/>
          </w:r>
          <w:r>
            <w:rPr>
              <w:rFonts w:hint="eastAsia" w:ascii="黑体" w:hAnsi="黑体" w:eastAsia="黑体" w:cs="黑体"/>
              <w:b/>
              <w:szCs w:val="32"/>
            </w:rPr>
            <w:t>十、其他重要事项的情况说明</w:t>
          </w:r>
          <w:r>
            <w:rPr>
              <w:b/>
            </w:rPr>
            <w:tab/>
          </w:r>
          <w:r>
            <w:rPr>
              <w:b/>
            </w:rPr>
            <w:fldChar w:fldCharType="begin"/>
          </w:r>
          <w:r>
            <w:rPr>
              <w:b/>
            </w:rPr>
            <w:instrText xml:space="preserve"> PAGEREF _Toc21930 \h </w:instrText>
          </w:r>
          <w:r>
            <w:rPr>
              <w:b/>
            </w:rPr>
            <w:fldChar w:fldCharType="separate"/>
          </w:r>
          <w:r>
            <w:rPr>
              <w:b/>
            </w:rPr>
            <w:t>13</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rPr>
            <w:instrText xml:space="preserve"> HYPERLINK \l _Toc12699 </w:instrText>
          </w:r>
          <w:r>
            <w:rPr>
              <w:rFonts w:hint="eastAsia" w:ascii="方正小标宋简体" w:hAnsi="方正小标宋简体" w:eastAsia="方正小标宋简体" w:cs="方正小标宋简体"/>
              <w:kern w:val="0"/>
              <w:szCs w:val="44"/>
              <w:shd w:val="clear" w:color="auto" w:fill="FFFFFF"/>
            </w:rPr>
            <w:fldChar w:fldCharType="separate"/>
          </w:r>
          <w:r>
            <w:rPr>
              <w:rFonts w:hint="eastAsia" w:ascii="楷体_GB2312" w:hAnsi="楷体_GB2312" w:eastAsia="楷体_GB2312" w:cs="楷体_GB2312"/>
              <w:szCs w:val="32"/>
            </w:rPr>
            <w:t>（一）机关运行经费</w:t>
          </w:r>
          <w:r>
            <w:tab/>
          </w:r>
          <w:r>
            <w:fldChar w:fldCharType="begin"/>
          </w:r>
          <w:r>
            <w:instrText xml:space="preserve"> PAGEREF _Toc12699 \h </w:instrText>
          </w:r>
          <w:r>
            <w:fldChar w:fldCharType="separate"/>
          </w:r>
          <w:r>
            <w:t>13</w:t>
          </w:r>
          <w:r>
            <w:fldChar w:fldCharType="end"/>
          </w: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rPr>
            <w:instrText xml:space="preserve"> HYPERLINK \l _Toc930 </w:instrText>
          </w:r>
          <w:r>
            <w:rPr>
              <w:rFonts w:hint="eastAsia" w:ascii="方正小标宋简体" w:hAnsi="方正小标宋简体" w:eastAsia="方正小标宋简体" w:cs="方正小标宋简体"/>
              <w:kern w:val="0"/>
              <w:szCs w:val="44"/>
              <w:shd w:val="clear" w:color="auto" w:fill="FFFFFF"/>
            </w:rPr>
            <w:fldChar w:fldCharType="separate"/>
          </w:r>
          <w:r>
            <w:rPr>
              <w:rFonts w:hint="eastAsia" w:ascii="楷体_GB2312" w:hAnsi="楷体_GB2312" w:eastAsia="楷体_GB2312" w:cs="楷体_GB2312"/>
              <w:szCs w:val="32"/>
            </w:rPr>
            <w:t>（二）政府采购情况</w:t>
          </w:r>
          <w:r>
            <w:tab/>
          </w:r>
          <w:r>
            <w:fldChar w:fldCharType="begin"/>
          </w:r>
          <w:r>
            <w:instrText xml:space="preserve"> PAGEREF _Toc930 \h </w:instrText>
          </w:r>
          <w:r>
            <w:fldChar w:fldCharType="separate"/>
          </w:r>
          <w:r>
            <w:t>13</w:t>
          </w:r>
          <w:r>
            <w:fldChar w:fldCharType="end"/>
          </w: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rPr>
            <w:instrText xml:space="preserve"> HYPERLINK \l _Toc16748 </w:instrText>
          </w:r>
          <w:r>
            <w:rPr>
              <w:rFonts w:hint="eastAsia" w:ascii="方正小标宋简体" w:hAnsi="方正小标宋简体" w:eastAsia="方正小标宋简体" w:cs="方正小标宋简体"/>
              <w:kern w:val="0"/>
              <w:szCs w:val="44"/>
              <w:shd w:val="clear" w:color="auto" w:fill="FFFFFF"/>
            </w:rPr>
            <w:fldChar w:fldCharType="separate"/>
          </w:r>
          <w:r>
            <w:rPr>
              <w:rFonts w:hint="eastAsia" w:ascii="楷体_GB2312" w:hAnsi="楷体_GB2312" w:eastAsia="楷体_GB2312" w:cs="楷体_GB2312"/>
              <w:szCs w:val="32"/>
            </w:rPr>
            <w:t>（三）国有资产占有使用情况</w:t>
          </w:r>
          <w:r>
            <w:tab/>
          </w:r>
          <w:r>
            <w:fldChar w:fldCharType="begin"/>
          </w:r>
          <w:r>
            <w:instrText xml:space="preserve"> PAGEREF _Toc16748 \h </w:instrText>
          </w:r>
          <w:r>
            <w:fldChar w:fldCharType="separate"/>
          </w:r>
          <w:r>
            <w:t>13</w:t>
          </w:r>
          <w:r>
            <w:fldChar w:fldCharType="end"/>
          </w: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end"/>
          </w:r>
        </w:p>
        <w:p>
          <w:pPr>
            <w:pStyle w:val="14"/>
            <w:tabs>
              <w:tab w:val="right" w:leader="dot" w:pos="8845"/>
            </w:tabs>
            <w:spacing w:line="360" w:lineRule="auto"/>
          </w:pP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kern w:val="0"/>
              <w:szCs w:val="44"/>
              <w:shd w:val="clear" w:color="auto" w:fill="FFFFFF"/>
            </w:rPr>
            <w:instrText xml:space="preserve"> HYPERLINK \l _Toc31773 </w:instrText>
          </w:r>
          <w:r>
            <w:rPr>
              <w:rFonts w:hint="eastAsia" w:ascii="方正小标宋简体" w:hAnsi="方正小标宋简体" w:eastAsia="方正小标宋简体" w:cs="方正小标宋简体"/>
              <w:kern w:val="0"/>
              <w:szCs w:val="44"/>
              <w:shd w:val="clear" w:color="auto" w:fill="FFFFFF"/>
            </w:rPr>
            <w:fldChar w:fldCharType="separate"/>
          </w:r>
          <w:r>
            <w:rPr>
              <w:rFonts w:hint="eastAsia" w:ascii="楷体_GB2312" w:hAnsi="楷体_GB2312" w:eastAsia="楷体_GB2312" w:cs="楷体_GB2312"/>
              <w:szCs w:val="32"/>
            </w:rPr>
            <w:t>（四）绩效目标设置情况</w:t>
          </w:r>
          <w:r>
            <w:tab/>
          </w:r>
          <w:r>
            <w:fldChar w:fldCharType="begin"/>
          </w:r>
          <w:r>
            <w:instrText xml:space="preserve"> PAGEREF _Toc31773 \h </w:instrText>
          </w:r>
          <w:r>
            <w:fldChar w:fldCharType="separate"/>
          </w:r>
          <w:r>
            <w:t>14</w:t>
          </w:r>
          <w:r>
            <w:fldChar w:fldCharType="end"/>
          </w:r>
          <w:r>
            <w:rPr>
              <w:rFonts w:hint="eastAsia" w:ascii="方正小标宋简体" w:hAnsi="方正小标宋简体" w:eastAsia="方正小标宋简体" w:cs="方正小标宋简体"/>
              <w:color w:val="000000" w:themeColor="text1"/>
              <w:kern w:val="0"/>
              <w:szCs w:val="44"/>
              <w:shd w:val="clear" w:color="auto" w:fill="FFFFFF"/>
              <w14:textFill>
                <w14:solidFill>
                  <w14:schemeClr w14:val="tx1"/>
                </w14:solidFill>
              </w14:textFill>
            </w:rPr>
            <w:fldChar w:fldCharType="end"/>
          </w:r>
        </w:p>
        <w:p>
          <w:pPr>
            <w:pStyle w:val="13"/>
            <w:tabs>
              <w:tab w:val="right" w:leader="dot" w:pos="8845"/>
            </w:tabs>
            <w:spacing w:line="360" w:lineRule="auto"/>
            <w:rPr>
              <w:b/>
            </w:rPr>
          </w:pP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begin"/>
          </w:r>
          <w:r>
            <w:rPr>
              <w:rFonts w:hint="eastAsia" w:ascii="方正小标宋简体" w:hAnsi="方正小标宋简体" w:eastAsia="方正小标宋简体" w:cs="方正小标宋简体"/>
              <w:b/>
              <w:kern w:val="0"/>
              <w:szCs w:val="44"/>
              <w:shd w:val="clear" w:color="auto" w:fill="FFFFFF"/>
            </w:rPr>
            <w:instrText xml:space="preserve"> HYPERLINK \l _Toc205 </w:instrText>
          </w:r>
          <w:r>
            <w:rPr>
              <w:rFonts w:hint="eastAsia" w:ascii="方正小标宋简体" w:hAnsi="方正小标宋简体" w:eastAsia="方正小标宋简体" w:cs="方正小标宋简体"/>
              <w:b/>
              <w:kern w:val="0"/>
              <w:szCs w:val="44"/>
              <w:shd w:val="clear" w:color="auto" w:fill="FFFFFF"/>
            </w:rPr>
            <w:fldChar w:fldCharType="separate"/>
          </w:r>
          <w:r>
            <w:rPr>
              <w:rFonts w:hint="eastAsia" w:ascii="仿宋_GB2312" w:hAnsi="仿宋_GB2312" w:eastAsia="仿宋_GB2312" w:cs="仿宋_GB2312"/>
              <w:b/>
              <w:szCs w:val="32"/>
            </w:rPr>
            <w:t xml:space="preserve">十一、 </w:t>
          </w:r>
          <w:r>
            <w:rPr>
              <w:rFonts w:hint="eastAsia" w:ascii="黑体" w:hAnsi="黑体" w:eastAsia="黑体" w:cs="黑体"/>
              <w:b/>
              <w:szCs w:val="32"/>
            </w:rPr>
            <w:t>名词解释</w:t>
          </w:r>
          <w:r>
            <w:rPr>
              <w:b/>
            </w:rPr>
            <w:tab/>
          </w:r>
          <w:r>
            <w:rPr>
              <w:b/>
            </w:rPr>
            <w:fldChar w:fldCharType="begin"/>
          </w:r>
          <w:r>
            <w:rPr>
              <w:b/>
            </w:rPr>
            <w:instrText xml:space="preserve"> PAGEREF _Toc205 \h </w:instrText>
          </w:r>
          <w:r>
            <w:rPr>
              <w:b/>
            </w:rPr>
            <w:fldChar w:fldCharType="separate"/>
          </w:r>
          <w:r>
            <w:rPr>
              <w:b/>
            </w:rPr>
            <w:t>14</w:t>
          </w:r>
          <w:r>
            <w:rPr>
              <w:b/>
            </w:rPr>
            <w:fldChar w:fldCharType="end"/>
          </w: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end"/>
          </w:r>
        </w:p>
        <w:p>
          <w:pPr>
            <w:widowControl/>
            <w:shd w:val="clear" w:color="auto"/>
            <w:spacing w:line="360" w:lineRule="auto"/>
            <w:jc w:val="both"/>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sectPr>
              <w:pgSz w:w="11906" w:h="16838"/>
              <w:pgMar w:top="2098" w:right="1474" w:bottom="1984" w:left="1587" w:header="720" w:footer="1559" w:gutter="0"/>
              <w:cols w:space="720" w:num="1"/>
              <w:docGrid w:type="lines" w:linePitch="312" w:charSpace="0"/>
            </w:sectPr>
          </w:pPr>
          <w:r>
            <w:rPr>
              <w:rFonts w:hint="eastAsia" w:ascii="方正小标宋简体" w:hAnsi="方正小标宋简体" w:eastAsia="方正小标宋简体" w:cs="方正小标宋简体"/>
              <w:b/>
              <w:color w:val="000000" w:themeColor="text1"/>
              <w:kern w:val="0"/>
              <w:szCs w:val="44"/>
              <w:shd w:val="clear" w:color="auto" w:fill="FFFFFF"/>
              <w14:textFill>
                <w14:solidFill>
                  <w14:schemeClr w14:val="tx1"/>
                </w14:solidFill>
              </w14:textFill>
            </w:rPr>
            <w:fldChar w:fldCharType="end"/>
          </w:r>
        </w:p>
      </w:sdtContent>
    </w:sdt>
    <w:p>
      <w:pPr>
        <w:widowControl/>
        <w:shd w:val="clear" w:color="auto"/>
        <w:spacing w:line="580" w:lineRule="atLeast"/>
        <w:jc w:val="both"/>
        <w:rPr>
          <w:rFonts w:hint="eastAsia" w:ascii="方正小标宋简体" w:hAnsi="方正小标宋简体" w:eastAsia="方正小标宋简体" w:cs="方正小标宋简体"/>
          <w:color w:val="000000" w:themeColor="text1"/>
          <w:kern w:val="0"/>
          <w:sz w:val="44"/>
          <w:szCs w:val="44"/>
          <w:shd w:val="clear" w:color="auto" w:fill="FFFFFF"/>
          <w14:textFill>
            <w14:solidFill>
              <w14:schemeClr w14:val="tx1"/>
            </w14:solidFill>
          </w14:textFill>
        </w:rPr>
      </w:pPr>
    </w:p>
    <w:p>
      <w:pPr>
        <w:shd w:val="clear"/>
        <w:spacing w:line="576" w:lineRule="exact"/>
        <w:ind w:firstLine="640" w:firstLineChars="200"/>
        <w:outlineLvl w:val="0"/>
        <w:rPr>
          <w:rFonts w:ascii="黑体" w:hAnsi="黑体" w:eastAsia="黑体" w:cs="黑体"/>
          <w:sz w:val="32"/>
          <w:szCs w:val="32"/>
        </w:rPr>
      </w:pPr>
      <w:bookmarkStart w:id="1" w:name="_Toc31896"/>
      <w:r>
        <w:rPr>
          <w:rFonts w:hint="eastAsia" w:ascii="黑体" w:hAnsi="黑体" w:eastAsia="黑体" w:cs="黑体"/>
          <w:sz w:val="32"/>
          <w:szCs w:val="32"/>
        </w:rPr>
        <w:t>一、基本职能及主要工作</w:t>
      </w:r>
      <w:bookmarkEnd w:id="1"/>
    </w:p>
    <w:p>
      <w:pPr>
        <w:shd w:val="clear"/>
        <w:spacing w:line="576" w:lineRule="exact"/>
        <w:ind w:firstLine="640" w:firstLineChars="200"/>
        <w:outlineLvl w:val="1"/>
        <w:rPr>
          <w:rFonts w:ascii="楷体_GB2312" w:eastAsia="楷体_GB2312"/>
          <w:sz w:val="32"/>
          <w:szCs w:val="32"/>
        </w:rPr>
      </w:pPr>
      <w:bookmarkStart w:id="2" w:name="_Toc18255"/>
      <w:r>
        <w:rPr>
          <w:rFonts w:hint="eastAsia" w:ascii="楷体_GB2312" w:eastAsia="楷体_GB2312"/>
          <w:sz w:val="32"/>
          <w:szCs w:val="32"/>
        </w:rPr>
        <w:t>（一）广元市公安局交通警察支队职能简介</w:t>
      </w:r>
      <w:bookmarkEnd w:id="2"/>
    </w:p>
    <w:p>
      <w:pPr>
        <w:shd w:val="clear"/>
        <w:spacing w:line="576" w:lineRule="exact"/>
        <w:ind w:firstLine="640" w:firstLineChars="200"/>
        <w:rPr>
          <w:rFonts w:ascii="仿宋_GB2312" w:eastAsia="仿宋_GB2312"/>
          <w:sz w:val="32"/>
          <w:szCs w:val="32"/>
        </w:rPr>
      </w:pPr>
      <w:r>
        <w:rPr>
          <w:rFonts w:hint="eastAsia" w:ascii="仿宋_GB2312" w:eastAsia="仿宋_GB2312"/>
          <w:sz w:val="32"/>
          <w:szCs w:val="32"/>
        </w:rPr>
        <w:t>一是负责全市20031公里道路（其中国道684公里、省道1337公里、县道3017公里、乡道2445公里、村道12155公里、专用道393公里）交通安全管理，纠正交通违章，维护交通秩序，处理突发事件，配合开展警卫工作。二是负责全市机动车及非机动车注册登记、核发牌证、过户、转籍等工作；三是负责全市机动车驾驶人考试及驾驶证的核发、补发等工作；四是负责交通事故责任认定、交通安全宣传以及参与道路交通管理工作规划。</w:t>
      </w:r>
    </w:p>
    <w:p>
      <w:pPr>
        <w:numPr>
          <w:ilvl w:val="0"/>
          <w:numId w:val="1"/>
        </w:numPr>
        <w:shd w:val="clear"/>
        <w:spacing w:line="576" w:lineRule="exact"/>
        <w:ind w:firstLine="640" w:firstLineChars="200"/>
        <w:outlineLvl w:val="1"/>
        <w:rPr>
          <w:rFonts w:ascii="楷体_GB2312" w:hAnsi="楷体_GB2312" w:eastAsia="楷体_GB2312" w:cs="楷体_GB2312"/>
          <w:sz w:val="32"/>
          <w:szCs w:val="32"/>
        </w:rPr>
      </w:pPr>
      <w:bookmarkStart w:id="3" w:name="_Toc13624"/>
      <w:r>
        <w:rPr>
          <w:rFonts w:hint="eastAsia" w:ascii="楷体_GB2312" w:eastAsia="楷体_GB2312"/>
          <w:sz w:val="32"/>
          <w:szCs w:val="32"/>
        </w:rPr>
        <w:t>广元市公安局交通警察支队</w:t>
      </w:r>
      <w:r>
        <w:rPr>
          <w:rFonts w:hint="eastAsia" w:ascii="楷体_GB2312" w:hAnsi="楷体_GB2312" w:eastAsia="楷体_GB2312" w:cs="楷体_GB2312"/>
          <w:sz w:val="32"/>
          <w:szCs w:val="32"/>
        </w:rPr>
        <w:t>2024年重点工作</w:t>
      </w:r>
      <w:bookmarkEnd w:id="3"/>
    </w:p>
    <w:p>
      <w:pPr>
        <w:autoSpaceDE w:val="0"/>
        <w:autoSpaceDN w:val="0"/>
        <w:adjustRightInd w:val="0"/>
        <w:spacing w:line="640" w:lineRule="exact"/>
        <w:ind w:firstLine="640" w:firstLineChars="200"/>
        <w:jc w:val="left"/>
        <w:rPr>
          <w:rFonts w:hint="default" w:ascii="仿宋_GB2312" w:eastAsia="仿宋_GB2312" w:cs="仿宋_GB2312"/>
          <w:kern w:val="0"/>
          <w:sz w:val="32"/>
          <w:szCs w:val="32"/>
          <w:lang w:val="en-US" w:eastAsia="zh-CN"/>
        </w:rPr>
      </w:pPr>
      <w:bookmarkStart w:id="4" w:name="_Toc24063"/>
      <w:r>
        <w:rPr>
          <w:rFonts w:hint="eastAsia" w:ascii="仿宋_GB2312" w:eastAsia="仿宋_GB2312"/>
          <w:color w:val="000000"/>
          <w:sz w:val="32"/>
          <w:szCs w:val="32"/>
        </w:rPr>
        <w:t>202</w:t>
      </w:r>
      <w:r>
        <w:rPr>
          <w:rFonts w:hint="eastAsia" w:ascii="仿宋_GB2312" w:eastAsia="仿宋_GB2312"/>
          <w:color w:val="000000"/>
          <w:sz w:val="32"/>
          <w:szCs w:val="32"/>
          <w:lang w:val="en-US" w:eastAsia="zh-CN"/>
        </w:rPr>
        <w:t>4</w:t>
      </w:r>
      <w:r>
        <w:rPr>
          <w:rFonts w:hint="eastAsia" w:ascii="仿宋_GB2312" w:eastAsia="仿宋_GB2312"/>
          <w:color w:val="000000"/>
          <w:sz w:val="32"/>
          <w:szCs w:val="32"/>
        </w:rPr>
        <w:t>年，全市公安道路交通管理工作要以习近平新时代中国特色社会主义思想为指导，全面贯彻党的二十大精神</w:t>
      </w:r>
      <w:r>
        <w:rPr>
          <w:rFonts w:hint="eastAsia" w:ascii="仿宋_GB2312" w:eastAsia="仿宋_GB2312"/>
          <w:color w:val="000000"/>
          <w:sz w:val="32"/>
          <w:szCs w:val="32"/>
          <w:lang w:val="en-US" w:eastAsia="zh-CN"/>
        </w:rPr>
        <w:t>和习近平总书记来川来广视察重要指示精神</w:t>
      </w:r>
      <w:r>
        <w:rPr>
          <w:rFonts w:hint="eastAsia" w:ascii="仿宋_GB2312" w:eastAsia="仿宋_GB2312"/>
          <w:color w:val="000000"/>
          <w:sz w:val="32"/>
          <w:szCs w:val="32"/>
        </w:rPr>
        <w:t>，认真落实厅党委“一三五七”</w:t>
      </w:r>
      <w:bookmarkStart w:id="27" w:name="_GoBack"/>
      <w:bookmarkEnd w:id="27"/>
      <w:r>
        <w:rPr>
          <w:rFonts w:hint="eastAsia" w:ascii="仿宋_GB2312" w:eastAsia="仿宋_GB2312"/>
          <w:color w:val="000000"/>
          <w:sz w:val="32"/>
          <w:szCs w:val="32"/>
        </w:rPr>
        <w:t>战略规划和市局党委“一三三五”发展规划，</w:t>
      </w:r>
      <w:r>
        <w:rPr>
          <w:rFonts w:hint="eastAsia" w:ascii="仿宋_GB2312" w:eastAsia="仿宋_GB2312"/>
          <w:color w:val="000000"/>
          <w:sz w:val="32"/>
          <w:szCs w:val="32"/>
          <w:lang w:val="en-US" w:eastAsia="zh-CN"/>
        </w:rPr>
        <w:t>以新中国成立75周年交通安保工作为主线，</w:t>
      </w:r>
      <w:r>
        <w:rPr>
          <w:rFonts w:hint="eastAsia" w:ascii="仿宋_GB2312" w:eastAsia="仿宋_GB2312"/>
          <w:sz w:val="32"/>
          <w:szCs w:val="32"/>
        </w:rPr>
        <w:t>以</w:t>
      </w:r>
      <w:r>
        <w:rPr>
          <w:rFonts w:hint="eastAsia" w:ascii="仿宋_GB2312" w:eastAsia="仿宋_GB2312"/>
          <w:sz w:val="32"/>
          <w:szCs w:val="32"/>
          <w:lang w:val="en-US" w:eastAsia="zh-CN"/>
        </w:rPr>
        <w:t>公安交管工作现代化</w:t>
      </w:r>
      <w:r>
        <w:rPr>
          <w:rFonts w:hint="eastAsia" w:ascii="仿宋_GB2312" w:eastAsia="仿宋_GB2312"/>
          <w:sz w:val="32"/>
          <w:szCs w:val="32"/>
        </w:rPr>
        <w:t>为总揽</w:t>
      </w:r>
      <w:r>
        <w:rPr>
          <w:rFonts w:hint="eastAsia" w:ascii="仿宋_GB2312" w:eastAsia="仿宋_GB2312"/>
          <w:sz w:val="32"/>
          <w:szCs w:val="32"/>
          <w:lang w:val="en-US" w:eastAsia="zh-CN"/>
        </w:rPr>
        <w:t>牵引</w:t>
      </w:r>
      <w:r>
        <w:rPr>
          <w:rFonts w:hint="eastAsia" w:ascii="仿宋_GB2312" w:eastAsia="仿宋_GB2312"/>
          <w:sz w:val="32"/>
          <w:szCs w:val="32"/>
        </w:rPr>
        <w:t>，以开展“</w:t>
      </w:r>
      <w:r>
        <w:rPr>
          <w:rFonts w:hint="eastAsia" w:ascii="仿宋_GB2312" w:eastAsia="仿宋_GB2312"/>
          <w:sz w:val="32"/>
          <w:szCs w:val="32"/>
          <w:lang w:val="en-US" w:eastAsia="zh-CN"/>
        </w:rPr>
        <w:t>善治</w:t>
      </w:r>
      <w:r>
        <w:rPr>
          <w:rFonts w:hint="eastAsia" w:ascii="仿宋_GB2312" w:eastAsia="仿宋_GB2312"/>
          <w:sz w:val="32"/>
          <w:szCs w:val="32"/>
        </w:rPr>
        <w:t>”专项行动</w:t>
      </w:r>
      <w:r>
        <w:rPr>
          <w:rFonts w:hint="eastAsia" w:ascii="仿宋_GB2312" w:eastAsia="仿宋_GB2312"/>
          <w:sz w:val="32"/>
          <w:szCs w:val="32"/>
          <w:lang w:val="en-US" w:eastAsia="zh-CN"/>
        </w:rPr>
        <w:t>抓手</w:t>
      </w:r>
      <w:r>
        <w:rPr>
          <w:rFonts w:hint="eastAsia" w:ascii="仿宋_GB2312" w:eastAsia="仿宋_GB2312"/>
          <w:sz w:val="32"/>
          <w:szCs w:val="32"/>
        </w:rPr>
        <w:t>，</w:t>
      </w:r>
      <w:r>
        <w:rPr>
          <w:rFonts w:hint="eastAsia" w:ascii="仿宋_GB2312" w:eastAsia="仿宋_GB2312"/>
          <w:sz w:val="32"/>
          <w:szCs w:val="32"/>
          <w:lang w:val="en-US" w:eastAsia="zh-CN"/>
        </w:rPr>
        <w:t>综合实施</w:t>
      </w:r>
      <w:r>
        <w:rPr>
          <w:rFonts w:hint="eastAsia" w:ascii="仿宋_GB2312" w:eastAsia="仿宋_GB2312"/>
          <w:sz w:val="32"/>
          <w:szCs w:val="32"/>
        </w:rPr>
        <w:t>减量控大保安全、缓堵攻坚保畅通、便民惠民护发展、提能塑形强队伍</w:t>
      </w:r>
      <w:r>
        <w:rPr>
          <w:rFonts w:hint="eastAsia" w:ascii="仿宋_GB2312" w:eastAsia="仿宋_GB2312" w:cs="仿宋_GB2312"/>
          <w:kern w:val="0"/>
          <w:sz w:val="32"/>
          <w:szCs w:val="32"/>
        </w:rPr>
        <w:t>等重点工作，为</w:t>
      </w:r>
      <w:r>
        <w:rPr>
          <w:rFonts w:hint="eastAsia" w:ascii="仿宋_GB2312" w:eastAsia="仿宋_GB2312" w:cs="仿宋_GB2312"/>
          <w:kern w:val="0"/>
          <w:sz w:val="32"/>
          <w:szCs w:val="32"/>
          <w:lang w:val="en-US" w:eastAsia="zh-CN"/>
        </w:rPr>
        <w:t>建设川陕甘结合部现代化中心城市创造良好的道路交通安全环境。</w:t>
      </w:r>
    </w:p>
    <w:p>
      <w:pPr>
        <w:autoSpaceDE w:val="0"/>
        <w:autoSpaceDN w:val="0"/>
        <w:adjustRightInd w:val="0"/>
        <w:spacing w:line="640" w:lineRule="exact"/>
        <w:ind w:firstLine="640" w:firstLineChars="200"/>
        <w:jc w:val="left"/>
        <w:rPr>
          <w:rFonts w:hint="eastAsia" w:ascii="黑体" w:hAnsi="黑体" w:eastAsia="黑体" w:cs="仿宋_GB2312"/>
          <w:kern w:val="0"/>
          <w:sz w:val="32"/>
          <w:szCs w:val="32"/>
        </w:rPr>
      </w:pPr>
      <w:r>
        <w:rPr>
          <w:rFonts w:hint="eastAsia" w:ascii="黑体" w:hAnsi="黑体" w:eastAsia="黑体" w:cs="仿宋_GB2312"/>
          <w:kern w:val="0"/>
          <w:sz w:val="32"/>
          <w:szCs w:val="32"/>
        </w:rPr>
        <w:t>一、</w:t>
      </w:r>
      <w:r>
        <w:rPr>
          <w:rFonts w:hint="eastAsia" w:ascii="黑体" w:hAnsi="黑体" w:eastAsia="黑体" w:cs="仿宋_GB2312"/>
          <w:kern w:val="0"/>
          <w:sz w:val="32"/>
          <w:szCs w:val="32"/>
          <w:lang w:val="en-US" w:eastAsia="zh-CN"/>
        </w:rPr>
        <w:t>巩固</w:t>
      </w:r>
      <w:r>
        <w:rPr>
          <w:rFonts w:hint="eastAsia" w:ascii="黑体" w:hAnsi="黑体" w:eastAsia="黑体" w:cs="仿宋_GB2312"/>
          <w:kern w:val="0"/>
          <w:sz w:val="32"/>
          <w:szCs w:val="32"/>
        </w:rPr>
        <w:t>“五大行动”</w:t>
      </w:r>
      <w:r>
        <w:rPr>
          <w:rFonts w:hint="eastAsia" w:ascii="黑体" w:hAnsi="黑体" w:eastAsia="黑体" w:cs="仿宋_GB2312"/>
          <w:kern w:val="0"/>
          <w:sz w:val="32"/>
          <w:szCs w:val="32"/>
          <w:lang w:eastAsia="zh-CN"/>
        </w:rPr>
        <w:t>，</w:t>
      </w:r>
      <w:r>
        <w:rPr>
          <w:rFonts w:hint="eastAsia" w:ascii="黑体" w:hAnsi="黑体" w:eastAsia="黑体" w:cs="仿宋_GB2312"/>
          <w:kern w:val="0"/>
          <w:sz w:val="32"/>
          <w:szCs w:val="32"/>
          <w:lang w:val="en-US" w:eastAsia="zh-CN"/>
        </w:rPr>
        <w:t>夯实交通安全根基</w:t>
      </w:r>
    </w:p>
    <w:p>
      <w:pPr>
        <w:autoSpaceDE w:val="0"/>
        <w:autoSpaceDN w:val="0"/>
        <w:adjustRightInd w:val="0"/>
        <w:spacing w:line="640" w:lineRule="exact"/>
        <w:ind w:firstLine="643" w:firstLineChars="200"/>
        <w:jc w:val="left"/>
        <w:rPr>
          <w:rFonts w:hint="eastAsia" w:ascii="仿宋_GB2312" w:eastAsia="仿宋_GB2312"/>
          <w:color w:val="000000"/>
          <w:sz w:val="32"/>
          <w:szCs w:val="32"/>
        </w:rPr>
      </w:pPr>
      <w:r>
        <w:rPr>
          <w:rFonts w:hint="eastAsia" w:ascii="楷体" w:hAnsi="楷体" w:eastAsia="楷体" w:cs="仿宋_GB2312"/>
          <w:b/>
          <w:kern w:val="0"/>
          <w:sz w:val="32"/>
          <w:szCs w:val="32"/>
        </w:rPr>
        <w:t>1.</w:t>
      </w:r>
      <w:r>
        <w:rPr>
          <w:rFonts w:hint="eastAsia" w:ascii="楷体" w:hAnsi="楷体" w:eastAsia="楷体" w:cs="仿宋_GB2312"/>
          <w:b/>
          <w:kern w:val="0"/>
          <w:sz w:val="32"/>
          <w:szCs w:val="32"/>
          <w:lang w:val="en-US" w:eastAsia="zh-CN"/>
        </w:rPr>
        <w:t>巩固</w:t>
      </w:r>
      <w:r>
        <w:rPr>
          <w:rFonts w:hint="eastAsia" w:ascii="楷体" w:hAnsi="楷体" w:eastAsia="楷体" w:cs="仿宋_GB2312"/>
          <w:b/>
          <w:kern w:val="0"/>
          <w:sz w:val="32"/>
          <w:szCs w:val="32"/>
        </w:rPr>
        <w:t>道路隐患排查整治行动。</w:t>
      </w:r>
      <w:r>
        <w:rPr>
          <w:rFonts w:hint="eastAsia" w:ascii="仿宋_GB2312" w:hAnsi="仿宋_GB2312" w:eastAsia="仿宋_GB2312" w:cs="仿宋_GB2312"/>
          <w:bCs/>
          <w:sz w:val="32"/>
          <w:szCs w:val="32"/>
        </w:rPr>
        <w:t>深化应用</w:t>
      </w:r>
      <w:r>
        <w:rPr>
          <w:rFonts w:hint="eastAsia" w:ascii="仿宋_GB2312" w:eastAsia="仿宋_GB2312" w:cs="仿宋_GB2312"/>
          <w:kern w:val="0"/>
          <w:sz w:val="32"/>
          <w:szCs w:val="32"/>
        </w:rPr>
        <w:t>隐患“四色”预警，延伸拓展风险警示范围，</w:t>
      </w:r>
      <w:r>
        <w:rPr>
          <w:rFonts w:hint="eastAsia" w:ascii="仿宋_GB2312" w:eastAsia="仿宋_GB2312"/>
          <w:color w:val="000000"/>
          <w:sz w:val="32"/>
          <w:szCs w:val="32"/>
        </w:rPr>
        <w:t>完善</w:t>
      </w:r>
      <w:r>
        <w:rPr>
          <w:rFonts w:hint="eastAsia" w:ascii="仿宋_GB2312" w:hAnsi="仿宋_GB2312" w:eastAsia="仿宋_GB2312" w:cs="仿宋_GB2312"/>
          <w:bCs/>
          <w:sz w:val="32"/>
          <w:szCs w:val="32"/>
        </w:rPr>
        <w:t>“人、车、路、企”</w:t>
      </w:r>
      <w:r>
        <w:rPr>
          <w:rFonts w:hint="eastAsia" w:ascii="仿宋_GB2312" w:eastAsia="仿宋_GB2312"/>
          <w:color w:val="000000"/>
          <w:sz w:val="32"/>
          <w:szCs w:val="32"/>
        </w:rPr>
        <w:t>道路交通隐患</w:t>
      </w:r>
      <w:r>
        <w:rPr>
          <w:rFonts w:hint="eastAsia" w:ascii="仿宋_GB2312" w:eastAsia="仿宋_GB2312"/>
          <w:color w:val="000000"/>
          <w:sz w:val="32"/>
          <w:szCs w:val="32"/>
          <w:lang w:val="en-US" w:eastAsia="zh-CN"/>
        </w:rPr>
        <w:t>预警</w:t>
      </w:r>
      <w:r>
        <w:rPr>
          <w:rFonts w:hint="eastAsia" w:ascii="仿宋_GB2312" w:eastAsia="仿宋_GB2312"/>
          <w:color w:val="000000"/>
          <w:sz w:val="32"/>
          <w:szCs w:val="32"/>
        </w:rPr>
        <w:t>机制，</w:t>
      </w:r>
      <w:r>
        <w:rPr>
          <w:rFonts w:hint="eastAsia" w:ascii="仿宋_GB2312" w:hAnsi="宋体" w:eastAsia="仿宋_GB2312" w:cs="宋体"/>
          <w:color w:val="000000"/>
          <w:kern w:val="0"/>
          <w:sz w:val="32"/>
          <w:szCs w:val="32"/>
        </w:rPr>
        <w:t>常态开展交通事故深度调查，</w:t>
      </w:r>
      <w:r>
        <w:rPr>
          <w:rFonts w:hint="eastAsia" w:ascii="仿宋_GB2312" w:eastAsia="仿宋_GB2312"/>
          <w:color w:val="000000"/>
          <w:sz w:val="32"/>
          <w:szCs w:val="32"/>
        </w:rPr>
        <w:t>做到“发生一起事故、歼灭一类隐患、完善一批制度”；</w:t>
      </w:r>
      <w:r>
        <w:rPr>
          <w:rFonts w:hint="eastAsia" w:ascii="仿宋_GB2312" w:hAnsi="宋体" w:eastAsia="仿宋_GB2312" w:cs="宋体"/>
          <w:color w:val="000000"/>
          <w:kern w:val="0"/>
          <w:sz w:val="32"/>
          <w:szCs w:val="32"/>
        </w:rPr>
        <w:t>推动安全生命防护工程建设，</w:t>
      </w:r>
      <w:r>
        <w:rPr>
          <w:rFonts w:hint="eastAsia" w:ascii="仿宋_GB2312" w:eastAsia="仿宋_GB2312"/>
          <w:color w:val="000000"/>
          <w:sz w:val="32"/>
          <w:szCs w:val="32"/>
        </w:rPr>
        <w:t>推进精细化提升行动，创建交通安全精品路。</w:t>
      </w:r>
    </w:p>
    <w:p>
      <w:pPr>
        <w:autoSpaceDE w:val="0"/>
        <w:autoSpaceDN w:val="0"/>
        <w:adjustRightInd w:val="0"/>
        <w:spacing w:line="640" w:lineRule="exact"/>
        <w:ind w:firstLine="643" w:firstLineChars="200"/>
        <w:jc w:val="left"/>
        <w:rPr>
          <w:rFonts w:hint="eastAsia" w:ascii="仿宋_GB2312" w:eastAsia="仿宋_GB2312"/>
          <w:color w:val="000000"/>
          <w:sz w:val="32"/>
          <w:szCs w:val="32"/>
        </w:rPr>
      </w:pPr>
      <w:r>
        <w:rPr>
          <w:rFonts w:hint="eastAsia" w:ascii="楷体" w:hAnsi="楷体" w:eastAsia="楷体" w:cs="仿宋_GB2312"/>
          <w:b/>
          <w:kern w:val="0"/>
          <w:sz w:val="32"/>
          <w:szCs w:val="32"/>
        </w:rPr>
        <w:t>2.</w:t>
      </w:r>
      <w:r>
        <w:rPr>
          <w:rFonts w:hint="eastAsia" w:ascii="楷体" w:hAnsi="楷体" w:eastAsia="楷体" w:cs="仿宋_GB2312"/>
          <w:b/>
          <w:kern w:val="0"/>
          <w:sz w:val="32"/>
          <w:szCs w:val="32"/>
          <w:lang w:val="en-US" w:eastAsia="zh-CN"/>
        </w:rPr>
        <w:t>巩固</w:t>
      </w:r>
      <w:r>
        <w:rPr>
          <w:rFonts w:hint="eastAsia" w:ascii="楷体" w:hAnsi="楷体" w:eastAsia="楷体" w:cs="仿宋_GB2312"/>
          <w:b/>
          <w:kern w:val="0"/>
          <w:sz w:val="32"/>
          <w:szCs w:val="32"/>
        </w:rPr>
        <w:t>源头安全风险清零行动。</w:t>
      </w:r>
      <w:r>
        <w:rPr>
          <w:rFonts w:hint="eastAsia" w:ascii="仿宋_GB2312" w:eastAsia="仿宋_GB2312"/>
          <w:color w:val="000000"/>
          <w:sz w:val="32"/>
          <w:szCs w:val="32"/>
        </w:rPr>
        <w:t>完善重点车辆和驾驶人源头准入机制，严把机动车查验、驾驶人考试等源头关；持续开展“两客一危一货”重点车辆和驾驶人隐患“清零”行动，</w:t>
      </w:r>
      <w:r>
        <w:rPr>
          <w:rFonts w:hint="eastAsia" w:ascii="仿宋_GB2312" w:eastAsia="仿宋_GB2312"/>
          <w:color w:val="000000"/>
          <w:sz w:val="32"/>
          <w:szCs w:val="32"/>
          <w:lang w:val="en-US" w:eastAsia="zh-CN"/>
        </w:rPr>
        <w:t>分级强化交通违法或交通事故多发、重点驾驶人以及患有妨碍安全驾驶精神疾病人员监管，</w:t>
      </w:r>
      <w:r>
        <w:rPr>
          <w:rFonts w:hint="eastAsia" w:ascii="仿宋_GB2312" w:eastAsia="仿宋_GB2312"/>
          <w:color w:val="000000"/>
          <w:sz w:val="32"/>
          <w:szCs w:val="32"/>
        </w:rPr>
        <w:t>深入推进逾期未报废和逾期未检验重点车辆上路隐患消除行动。</w:t>
      </w:r>
    </w:p>
    <w:p>
      <w:pPr>
        <w:autoSpaceDE w:val="0"/>
        <w:autoSpaceDN w:val="0"/>
        <w:adjustRightInd w:val="0"/>
        <w:spacing w:line="640" w:lineRule="exact"/>
        <w:ind w:firstLine="643" w:firstLineChars="200"/>
        <w:jc w:val="left"/>
        <w:rPr>
          <w:rFonts w:hint="eastAsia" w:ascii="仿宋_GB2312" w:eastAsia="仿宋_GB2312"/>
          <w:color w:val="000000"/>
          <w:sz w:val="32"/>
          <w:szCs w:val="32"/>
        </w:rPr>
      </w:pPr>
      <w:r>
        <w:rPr>
          <w:rFonts w:hint="eastAsia" w:ascii="楷体" w:hAnsi="楷体" w:eastAsia="楷体" w:cs="仿宋_GB2312"/>
          <w:b/>
          <w:kern w:val="0"/>
          <w:sz w:val="32"/>
          <w:szCs w:val="32"/>
        </w:rPr>
        <w:t>3.</w:t>
      </w:r>
      <w:r>
        <w:rPr>
          <w:rFonts w:hint="eastAsia" w:ascii="楷体" w:hAnsi="楷体" w:eastAsia="楷体" w:cs="仿宋_GB2312"/>
          <w:b/>
          <w:kern w:val="0"/>
          <w:sz w:val="32"/>
          <w:szCs w:val="32"/>
          <w:lang w:val="en-US" w:eastAsia="zh-CN"/>
        </w:rPr>
        <w:t>巩固</w:t>
      </w:r>
      <w:r>
        <w:rPr>
          <w:rFonts w:hint="eastAsia" w:ascii="楷体" w:hAnsi="楷体" w:eastAsia="楷体" w:cs="仿宋_GB2312"/>
          <w:b/>
          <w:kern w:val="0"/>
          <w:sz w:val="32"/>
          <w:szCs w:val="32"/>
        </w:rPr>
        <w:t>路面交通秩序净化行动。</w:t>
      </w:r>
      <w:r>
        <w:rPr>
          <w:rFonts w:hint="eastAsia" w:ascii="仿宋_GB2312" w:eastAsia="仿宋_GB2312"/>
          <w:color w:val="000000"/>
          <w:sz w:val="32"/>
          <w:szCs w:val="32"/>
        </w:rPr>
        <w:t>健全完善路面执法查纠、源头倒查惩戒、事故调查追责一体化闭环管理机制，探索预防为主的治理模式；完善川陕甘毗邻区域交通安保联勤机制，实现信息互通、资源互享、勤务互补、违法互查、应急互助。</w:t>
      </w:r>
    </w:p>
    <w:p>
      <w:pPr>
        <w:autoSpaceDE w:val="0"/>
        <w:autoSpaceDN w:val="0"/>
        <w:adjustRightInd w:val="0"/>
        <w:spacing w:line="640" w:lineRule="exact"/>
        <w:ind w:firstLine="643" w:firstLineChars="200"/>
        <w:jc w:val="left"/>
        <w:rPr>
          <w:rFonts w:hint="eastAsia" w:ascii="仿宋_GB2312" w:eastAsia="仿宋_GB2312"/>
          <w:color w:val="000000"/>
          <w:sz w:val="32"/>
          <w:szCs w:val="32"/>
        </w:rPr>
      </w:pPr>
      <w:r>
        <w:rPr>
          <w:rFonts w:hint="eastAsia" w:ascii="楷体" w:hAnsi="楷体" w:eastAsia="楷体" w:cs="仿宋_GB2312"/>
          <w:b/>
          <w:kern w:val="0"/>
          <w:sz w:val="32"/>
          <w:szCs w:val="32"/>
        </w:rPr>
        <w:t>4.</w:t>
      </w:r>
      <w:r>
        <w:rPr>
          <w:rFonts w:hint="eastAsia" w:ascii="楷体" w:hAnsi="楷体" w:eastAsia="楷体" w:cs="仿宋_GB2312"/>
          <w:b/>
          <w:kern w:val="0"/>
          <w:sz w:val="32"/>
          <w:szCs w:val="32"/>
          <w:lang w:val="en-US" w:eastAsia="zh-CN"/>
        </w:rPr>
        <w:t>巩固</w:t>
      </w:r>
      <w:r>
        <w:rPr>
          <w:rFonts w:hint="eastAsia" w:ascii="楷体" w:hAnsi="楷体" w:eastAsia="楷体" w:cs="仿宋_GB2312"/>
          <w:b/>
          <w:kern w:val="0"/>
          <w:sz w:val="32"/>
          <w:szCs w:val="32"/>
        </w:rPr>
        <w:t>交通安全宣传警示行动。</w:t>
      </w:r>
      <w:r>
        <w:rPr>
          <w:rFonts w:hint="eastAsia" w:ascii="仿宋_GB2312" w:eastAsia="仿宋_GB2312"/>
          <w:color w:val="000000"/>
          <w:sz w:val="32"/>
          <w:szCs w:val="32"/>
        </w:rPr>
        <w:t>坚持提前提示、及时预警、宣传引导“三位一体”，拓展宣传渠道载体，持续开展交通安全“五大曝光”和“七进”宣传，落实重点节假日、重大活动交通宣传引导，探索警媒联动、精准诱导新模式。</w:t>
      </w:r>
    </w:p>
    <w:p>
      <w:pPr>
        <w:autoSpaceDE w:val="0"/>
        <w:autoSpaceDN w:val="0"/>
        <w:adjustRightInd w:val="0"/>
        <w:spacing w:line="640" w:lineRule="exact"/>
        <w:ind w:firstLine="643" w:firstLineChars="200"/>
        <w:jc w:val="left"/>
        <w:rPr>
          <w:rFonts w:ascii="仿宋_GB2312" w:eastAsia="仿宋_GB2312"/>
          <w:color w:val="FF0000"/>
          <w:sz w:val="32"/>
          <w:szCs w:val="32"/>
        </w:rPr>
      </w:pPr>
      <w:r>
        <w:rPr>
          <w:rFonts w:hint="eastAsia" w:ascii="楷体" w:hAnsi="楷体" w:eastAsia="楷体" w:cs="仿宋_GB2312"/>
          <w:b/>
          <w:kern w:val="0"/>
          <w:sz w:val="32"/>
          <w:szCs w:val="32"/>
        </w:rPr>
        <w:t>5.</w:t>
      </w:r>
      <w:r>
        <w:rPr>
          <w:rFonts w:hint="eastAsia" w:ascii="楷体" w:hAnsi="楷体" w:eastAsia="楷体" w:cs="仿宋_GB2312"/>
          <w:b/>
          <w:kern w:val="0"/>
          <w:sz w:val="32"/>
          <w:szCs w:val="32"/>
          <w:lang w:val="en-US" w:eastAsia="zh-CN"/>
        </w:rPr>
        <w:t>巩固</w:t>
      </w:r>
      <w:r>
        <w:rPr>
          <w:rFonts w:hint="eastAsia" w:ascii="楷体" w:hAnsi="楷体" w:eastAsia="楷体" w:cs="仿宋_GB2312"/>
          <w:b/>
          <w:kern w:val="0"/>
          <w:sz w:val="32"/>
          <w:szCs w:val="32"/>
        </w:rPr>
        <w:t>农村交管固本强基行动。</w:t>
      </w:r>
      <w:r>
        <w:rPr>
          <w:rFonts w:hint="eastAsia" w:ascii="仿宋_GB2312" w:eastAsia="仿宋_GB2312"/>
          <w:color w:val="000000"/>
          <w:sz w:val="32"/>
          <w:szCs w:val="32"/>
        </w:rPr>
        <w:t>健全完善农村交通安全管理责任体系，压实部门监管和乡镇党委政府属地责任，加大农村平交路口“三必上”“五必上”建设力度，推进农村道路安全隐患突出路口路段治理重点攻坚。</w:t>
      </w:r>
    </w:p>
    <w:p>
      <w:pPr>
        <w:autoSpaceDE w:val="0"/>
        <w:autoSpaceDN w:val="0"/>
        <w:adjustRightInd w:val="0"/>
        <w:spacing w:line="640" w:lineRule="exact"/>
        <w:ind w:firstLine="640" w:firstLineChars="200"/>
        <w:jc w:val="left"/>
        <w:rPr>
          <w:rFonts w:hint="default" w:ascii="黑体" w:hAnsi="黑体" w:eastAsia="黑体" w:cs="仿宋_GB2312"/>
          <w:kern w:val="0"/>
          <w:sz w:val="32"/>
          <w:szCs w:val="32"/>
          <w:lang w:val="en-US" w:eastAsia="zh-CN"/>
        </w:rPr>
      </w:pPr>
      <w:r>
        <w:rPr>
          <w:rFonts w:hint="eastAsia" w:ascii="黑体" w:hAnsi="黑体" w:eastAsia="黑体" w:cs="仿宋_GB2312"/>
          <w:kern w:val="0"/>
          <w:sz w:val="32"/>
          <w:szCs w:val="32"/>
        </w:rPr>
        <w:t>二、着力“</w:t>
      </w:r>
      <w:r>
        <w:rPr>
          <w:rFonts w:hint="eastAsia" w:ascii="黑体" w:hAnsi="黑体" w:eastAsia="黑体" w:cs="仿宋_GB2312"/>
          <w:kern w:val="0"/>
          <w:sz w:val="32"/>
          <w:szCs w:val="32"/>
          <w:lang w:val="en-US" w:eastAsia="zh-CN"/>
        </w:rPr>
        <w:t>四</w:t>
      </w:r>
      <w:r>
        <w:rPr>
          <w:rFonts w:hint="eastAsia" w:ascii="黑体" w:hAnsi="黑体" w:eastAsia="黑体" w:cs="仿宋_GB2312"/>
          <w:kern w:val="0"/>
          <w:sz w:val="32"/>
          <w:szCs w:val="32"/>
        </w:rPr>
        <w:t>个关键”</w:t>
      </w:r>
      <w:r>
        <w:rPr>
          <w:rFonts w:hint="eastAsia" w:ascii="黑体" w:hAnsi="黑体" w:eastAsia="黑体" w:cs="仿宋_GB2312"/>
          <w:kern w:val="0"/>
          <w:sz w:val="32"/>
          <w:szCs w:val="32"/>
          <w:lang w:eastAsia="zh-CN"/>
        </w:rPr>
        <w:t>，</w:t>
      </w:r>
      <w:r>
        <w:rPr>
          <w:rFonts w:hint="eastAsia" w:ascii="黑体" w:hAnsi="黑体" w:eastAsia="黑体" w:cs="仿宋_GB2312"/>
          <w:kern w:val="0"/>
          <w:sz w:val="32"/>
          <w:szCs w:val="32"/>
          <w:lang w:val="en-US" w:eastAsia="zh-CN"/>
        </w:rPr>
        <w:t>提升精细管理水平</w:t>
      </w:r>
    </w:p>
    <w:p>
      <w:pPr>
        <w:autoSpaceDE w:val="0"/>
        <w:autoSpaceDN w:val="0"/>
        <w:adjustRightInd w:val="0"/>
        <w:spacing w:line="640" w:lineRule="exact"/>
        <w:ind w:firstLine="643" w:firstLineChars="200"/>
        <w:jc w:val="left"/>
        <w:rPr>
          <w:rFonts w:hint="eastAsia" w:ascii="仿宋_GB2312" w:hAnsi="仿宋" w:eastAsia="仿宋_GB2312" w:cs="仿宋"/>
          <w:sz w:val="32"/>
          <w:szCs w:val="32"/>
          <w:shd w:val="clear" w:color="auto" w:fill="FFFFFF"/>
        </w:rPr>
      </w:pPr>
      <w:r>
        <w:rPr>
          <w:rFonts w:hint="eastAsia" w:ascii="楷体" w:hAnsi="楷体" w:eastAsia="楷体" w:cs="仿宋_GB2312"/>
          <w:b/>
          <w:kern w:val="0"/>
          <w:sz w:val="32"/>
          <w:szCs w:val="32"/>
        </w:rPr>
        <w:t>6.</w:t>
      </w:r>
      <w:r>
        <w:rPr>
          <w:rFonts w:hint="eastAsia" w:ascii="楷体" w:hAnsi="楷体" w:eastAsia="楷体" w:cs="仿宋_GB2312"/>
          <w:b/>
          <w:kern w:val="0"/>
          <w:sz w:val="32"/>
          <w:szCs w:val="32"/>
          <w:lang w:val="en-US" w:eastAsia="zh-CN"/>
        </w:rPr>
        <w:t>着力</w:t>
      </w:r>
      <w:r>
        <w:rPr>
          <w:rFonts w:hint="eastAsia" w:ascii="楷体" w:hAnsi="楷体" w:eastAsia="楷体" w:cs="仿宋_GB2312"/>
          <w:b/>
          <w:kern w:val="0"/>
          <w:sz w:val="32"/>
          <w:szCs w:val="32"/>
        </w:rPr>
        <w:t>健全规划体系。</w:t>
      </w:r>
      <w:r>
        <w:rPr>
          <w:rFonts w:hint="eastAsia" w:ascii="仿宋_GB2312" w:eastAsia="仿宋_GB2312"/>
          <w:color w:val="000000"/>
          <w:sz w:val="32"/>
          <w:szCs w:val="32"/>
        </w:rPr>
        <w:t>依托城市交委会平台，</w:t>
      </w:r>
      <w:r>
        <w:rPr>
          <w:rFonts w:hint="eastAsia" w:ascii="仿宋_GB2312" w:eastAsia="仿宋_GB2312" w:cs="仿宋_GB2312"/>
          <w:color w:val="000000"/>
          <w:sz w:val="32"/>
          <w:szCs w:val="32"/>
          <w:shd w:val="clear" w:color="auto" w:fill="FFFFFF"/>
        </w:rPr>
        <w:t>完善城市交通规划、建设和管理的政策机制，</w:t>
      </w:r>
      <w:r>
        <w:rPr>
          <w:rFonts w:hint="eastAsia" w:ascii="仿宋_GB2312" w:eastAsia="仿宋_GB2312"/>
          <w:color w:val="000000"/>
          <w:sz w:val="32"/>
          <w:szCs w:val="32"/>
        </w:rPr>
        <w:t>提高公安交警参与度和话语权，推动交通治理从“末端管理”向“源头干预”延伸；</w:t>
      </w:r>
      <w:r>
        <w:rPr>
          <w:rFonts w:hint="eastAsia" w:ascii="仿宋_GB2312" w:hAnsi="仿宋" w:eastAsia="仿宋_GB2312" w:cs="仿宋"/>
          <w:sz w:val="32"/>
          <w:szCs w:val="32"/>
          <w:shd w:val="clear" w:color="auto" w:fill="FFFFFF"/>
        </w:rPr>
        <w:t xml:space="preserve">全面实施市城区“文明畅达”行动，真正将保畅责任、任务分解到各职能部门，构建社会协同共治的工作格局。 </w:t>
      </w:r>
    </w:p>
    <w:p>
      <w:pPr>
        <w:autoSpaceDE w:val="0"/>
        <w:autoSpaceDN w:val="0"/>
        <w:adjustRightInd w:val="0"/>
        <w:spacing w:line="640" w:lineRule="exact"/>
        <w:ind w:firstLine="643" w:firstLineChars="200"/>
        <w:jc w:val="left"/>
        <w:rPr>
          <w:rFonts w:hint="eastAsia" w:ascii="仿宋_GB2312" w:hAnsi="仿宋" w:eastAsia="仿宋_GB2312" w:cs="仿宋"/>
          <w:sz w:val="32"/>
          <w:szCs w:val="32"/>
          <w:shd w:val="clear" w:color="auto" w:fill="FFFFFF"/>
        </w:rPr>
      </w:pPr>
      <w:r>
        <w:rPr>
          <w:rFonts w:hint="eastAsia" w:ascii="楷体" w:hAnsi="楷体" w:eastAsia="楷体" w:cs="仿宋"/>
          <w:b/>
          <w:sz w:val="32"/>
          <w:szCs w:val="32"/>
          <w:shd w:val="clear" w:color="auto" w:fill="FFFFFF"/>
        </w:rPr>
        <w:t>7.</w:t>
      </w:r>
      <w:r>
        <w:rPr>
          <w:rFonts w:hint="eastAsia" w:ascii="楷体" w:hAnsi="楷体" w:eastAsia="楷体" w:cs="仿宋_GB2312"/>
          <w:b/>
          <w:kern w:val="0"/>
          <w:sz w:val="32"/>
          <w:szCs w:val="32"/>
          <w:lang w:val="en-US" w:eastAsia="zh-CN"/>
        </w:rPr>
        <w:t>着力</w:t>
      </w:r>
      <w:r>
        <w:rPr>
          <w:rFonts w:hint="eastAsia" w:ascii="楷体" w:hAnsi="楷体" w:eastAsia="楷体" w:cs="仿宋"/>
          <w:b/>
          <w:sz w:val="32"/>
          <w:szCs w:val="32"/>
          <w:shd w:val="clear" w:color="auto" w:fill="FFFFFF"/>
        </w:rPr>
        <w:t>优化交通组织。</w:t>
      </w:r>
      <w:r>
        <w:rPr>
          <w:rFonts w:hint="eastAsia" w:ascii="仿宋_GB2312" w:hAnsi="仿宋" w:eastAsia="仿宋_GB2312" w:cs="仿宋"/>
          <w:sz w:val="32"/>
          <w:szCs w:val="32"/>
          <w:shd w:val="clear" w:color="auto" w:fill="FFFFFF"/>
          <w:lang w:val="en-US" w:eastAsia="zh-CN"/>
        </w:rPr>
        <w:t>坚持“一路一策、一点一策、一线一策”</w:t>
      </w:r>
      <w:r>
        <w:rPr>
          <w:rFonts w:hint="eastAsia" w:ascii="仿宋_GB2312" w:hAnsi="仿宋" w:eastAsia="仿宋_GB2312" w:cs="仿宋"/>
          <w:sz w:val="32"/>
          <w:szCs w:val="32"/>
          <w:shd w:val="clear" w:color="auto" w:fill="FFFFFF"/>
        </w:rPr>
        <w:t>，推进</w:t>
      </w:r>
      <w:r>
        <w:rPr>
          <w:rFonts w:hint="eastAsia" w:ascii="仿宋_GB2312" w:hAnsi="仿宋" w:eastAsia="仿宋_GB2312" w:cs="仿宋"/>
          <w:sz w:val="32"/>
          <w:szCs w:val="32"/>
          <w:shd w:val="clear" w:color="auto" w:fill="FFFFFF"/>
          <w:lang w:val="en-US" w:eastAsia="zh-CN"/>
        </w:rPr>
        <w:t>实施</w:t>
      </w:r>
      <w:r>
        <w:rPr>
          <w:rFonts w:hint="eastAsia" w:ascii="仿宋_GB2312" w:hAnsi="仿宋" w:eastAsia="仿宋_GB2312" w:cs="仿宋"/>
          <w:sz w:val="32"/>
          <w:szCs w:val="32"/>
          <w:shd w:val="clear" w:color="auto" w:fill="FFFFFF"/>
        </w:rPr>
        <w:t>城市道路交通信号灯配时智能化和交通标志标线标准化建设；优化区域、路线、时间交通组织，畅达“主动脉”，疏通“瓶颈路”，活跃“微循环”，提高路口通行效率，</w:t>
      </w:r>
      <w:r>
        <w:rPr>
          <w:rFonts w:hint="eastAsia" w:ascii="仿宋_GB2312" w:hAnsi="仿宋" w:eastAsia="仿宋_GB2312" w:cs="仿宋"/>
          <w:sz w:val="32"/>
          <w:szCs w:val="32"/>
          <w:shd w:val="clear" w:color="auto" w:fill="FFFFFF"/>
          <w:lang w:val="en-US" w:eastAsia="zh-CN"/>
        </w:rPr>
        <w:t>创建文明交通“典范路口”</w:t>
      </w:r>
      <w:r>
        <w:rPr>
          <w:rFonts w:hint="eastAsia" w:ascii="仿宋_GB2312" w:hAnsi="仿宋" w:eastAsia="仿宋_GB2312" w:cs="仿宋"/>
          <w:sz w:val="32"/>
          <w:szCs w:val="32"/>
          <w:shd w:val="clear" w:color="auto" w:fill="FFFFFF"/>
        </w:rPr>
        <w:t>。</w:t>
      </w:r>
    </w:p>
    <w:p>
      <w:pPr>
        <w:autoSpaceDE w:val="0"/>
        <w:autoSpaceDN w:val="0"/>
        <w:adjustRightInd w:val="0"/>
        <w:spacing w:line="640" w:lineRule="exact"/>
        <w:ind w:firstLine="643" w:firstLineChars="200"/>
        <w:jc w:val="left"/>
        <w:rPr>
          <w:rFonts w:hint="eastAsia" w:ascii="仿宋_GB2312" w:eastAsia="仿宋_GB2312"/>
          <w:color w:val="000000"/>
          <w:sz w:val="32"/>
          <w:szCs w:val="32"/>
        </w:rPr>
      </w:pPr>
      <w:r>
        <w:rPr>
          <w:rFonts w:hint="eastAsia" w:ascii="楷体" w:hAnsi="楷体" w:eastAsia="楷体" w:cs="仿宋"/>
          <w:b/>
          <w:sz w:val="32"/>
          <w:szCs w:val="32"/>
          <w:shd w:val="clear" w:color="auto" w:fill="FFFFFF"/>
        </w:rPr>
        <w:t>8.</w:t>
      </w:r>
      <w:r>
        <w:rPr>
          <w:rFonts w:hint="eastAsia" w:ascii="楷体" w:hAnsi="楷体" w:eastAsia="楷体" w:cs="仿宋_GB2312"/>
          <w:b/>
          <w:kern w:val="0"/>
          <w:sz w:val="32"/>
          <w:szCs w:val="32"/>
          <w:lang w:val="en-US" w:eastAsia="zh-CN"/>
        </w:rPr>
        <w:t>着力</w:t>
      </w:r>
      <w:r>
        <w:rPr>
          <w:rFonts w:hint="eastAsia" w:ascii="楷体" w:hAnsi="楷体" w:eastAsia="楷体" w:cs="仿宋"/>
          <w:b/>
          <w:sz w:val="32"/>
          <w:szCs w:val="32"/>
          <w:shd w:val="clear" w:color="auto" w:fill="FFFFFF"/>
          <w:lang w:val="en-US" w:eastAsia="zh-CN"/>
        </w:rPr>
        <w:t>健全</w:t>
      </w:r>
      <w:r>
        <w:rPr>
          <w:rFonts w:hint="eastAsia" w:ascii="楷体" w:hAnsi="楷体" w:eastAsia="楷体" w:cs="仿宋"/>
          <w:b/>
          <w:sz w:val="32"/>
          <w:szCs w:val="32"/>
          <w:shd w:val="clear" w:color="auto" w:fill="FFFFFF"/>
        </w:rPr>
        <w:t>勤务模式</w:t>
      </w:r>
      <w:r>
        <w:rPr>
          <w:rFonts w:hint="eastAsia" w:ascii="仿宋_GB2312" w:hAnsi="仿宋" w:eastAsia="仿宋_GB2312" w:cs="仿宋"/>
          <w:sz w:val="32"/>
          <w:szCs w:val="32"/>
          <w:shd w:val="clear" w:color="auto" w:fill="FFFFFF"/>
        </w:rPr>
        <w:t>。探索扁平化指挥调度、网格化责任管理、实战化勤务运作、常态化监督考核</w:t>
      </w:r>
      <w:r>
        <w:rPr>
          <w:rFonts w:ascii="仿宋_GB2312" w:hAnsi="仿宋" w:eastAsia="仿宋_GB2312" w:cs="仿宋"/>
          <w:sz w:val="32"/>
          <w:szCs w:val="32"/>
          <w:shd w:val="clear" w:color="auto" w:fill="FFFFFF"/>
        </w:rPr>
        <w:t>“</w:t>
      </w:r>
      <w:r>
        <w:rPr>
          <w:rFonts w:hint="eastAsia" w:ascii="仿宋_GB2312" w:hAnsi="仿宋" w:eastAsia="仿宋_GB2312" w:cs="仿宋"/>
          <w:sz w:val="32"/>
          <w:szCs w:val="32"/>
          <w:shd w:val="clear" w:color="auto" w:fill="FFFFFF"/>
        </w:rPr>
        <w:t>四化合一</w:t>
      </w:r>
      <w:r>
        <w:rPr>
          <w:rFonts w:ascii="仿宋_GB2312" w:hAnsi="仿宋" w:eastAsia="仿宋_GB2312" w:cs="仿宋"/>
          <w:sz w:val="32"/>
          <w:szCs w:val="32"/>
          <w:shd w:val="clear" w:color="auto" w:fill="FFFFFF"/>
        </w:rPr>
        <w:t>”</w:t>
      </w:r>
      <w:r>
        <w:rPr>
          <w:rFonts w:hint="eastAsia" w:ascii="仿宋_GB2312" w:hAnsi="仿宋" w:eastAsia="仿宋_GB2312" w:cs="仿宋"/>
          <w:sz w:val="32"/>
          <w:szCs w:val="32"/>
          <w:shd w:val="clear" w:color="auto" w:fill="FFFFFF"/>
        </w:rPr>
        <w:t>勤务机制，</w:t>
      </w:r>
      <w:r>
        <w:rPr>
          <w:rFonts w:hint="eastAsia" w:ascii="仿宋_GB2312" w:eastAsia="仿宋_GB2312"/>
          <w:color w:val="000000"/>
          <w:sz w:val="32"/>
          <w:szCs w:val="32"/>
        </w:rPr>
        <w:t>完善交通安保联勤指挥工作机制，固化</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勤指行</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一体化</w:t>
      </w:r>
      <w:r>
        <w:rPr>
          <w:rFonts w:hint="eastAsia" w:ascii="仿宋_GB2312" w:eastAsia="仿宋_GB2312"/>
          <w:color w:val="000000"/>
          <w:sz w:val="32"/>
          <w:szCs w:val="32"/>
        </w:rPr>
        <w:t>模式，</w:t>
      </w:r>
      <w:r>
        <w:rPr>
          <w:rFonts w:hint="eastAsia" w:ascii="仿宋_GB2312" w:eastAsia="仿宋_GB2312"/>
          <w:color w:val="000000"/>
          <w:sz w:val="32"/>
          <w:szCs w:val="32"/>
          <w:lang w:val="en-US" w:eastAsia="zh-CN"/>
        </w:rPr>
        <w:t>全面</w:t>
      </w:r>
      <w:r>
        <w:rPr>
          <w:rFonts w:hint="eastAsia" w:ascii="仿宋_GB2312" w:hAnsi="仿宋" w:eastAsia="仿宋_GB2312" w:cs="仿宋"/>
          <w:sz w:val="32"/>
          <w:szCs w:val="32"/>
          <w:shd w:val="clear" w:color="auto" w:fill="FFFFFF"/>
        </w:rPr>
        <w:t>推行“站高峰”“形象岗”勤务，</w:t>
      </w:r>
      <w:r>
        <w:rPr>
          <w:rFonts w:hint="eastAsia" w:ascii="仿宋_GB2312" w:eastAsia="仿宋_GB2312"/>
          <w:color w:val="000000"/>
          <w:sz w:val="32"/>
          <w:szCs w:val="32"/>
        </w:rPr>
        <w:t>升级打造“最快双腿”的铁骑中队，提升勤务处置效能。</w:t>
      </w:r>
    </w:p>
    <w:p>
      <w:pPr>
        <w:autoSpaceDE w:val="0"/>
        <w:autoSpaceDN w:val="0"/>
        <w:adjustRightInd w:val="0"/>
        <w:spacing w:line="640" w:lineRule="exact"/>
        <w:ind w:firstLine="643" w:firstLineChars="200"/>
        <w:jc w:val="left"/>
        <w:rPr>
          <w:rFonts w:hint="eastAsia" w:ascii="仿宋_GB2312" w:hAnsi="仿宋" w:eastAsia="仿宋_GB2312" w:cs="仿宋"/>
          <w:sz w:val="32"/>
          <w:szCs w:val="32"/>
          <w:shd w:val="clear" w:color="auto" w:fill="FFFFFF"/>
        </w:rPr>
      </w:pPr>
      <w:r>
        <w:rPr>
          <w:rFonts w:hint="eastAsia" w:ascii="楷体" w:hAnsi="楷体" w:eastAsia="楷体" w:cs="仿宋"/>
          <w:b/>
          <w:sz w:val="32"/>
          <w:szCs w:val="32"/>
          <w:shd w:val="clear" w:color="auto" w:fill="FFFFFF"/>
        </w:rPr>
        <w:t>9.</w:t>
      </w:r>
      <w:r>
        <w:rPr>
          <w:rFonts w:hint="eastAsia" w:ascii="楷体" w:hAnsi="楷体" w:eastAsia="楷体" w:cs="仿宋_GB2312"/>
          <w:b/>
          <w:kern w:val="0"/>
          <w:sz w:val="32"/>
          <w:szCs w:val="32"/>
          <w:lang w:val="en-US" w:eastAsia="zh-CN"/>
        </w:rPr>
        <w:t>着力</w:t>
      </w:r>
      <w:r>
        <w:rPr>
          <w:rFonts w:hint="eastAsia" w:ascii="楷体" w:hAnsi="楷体" w:eastAsia="楷体" w:cs="仿宋"/>
          <w:b/>
          <w:sz w:val="32"/>
          <w:szCs w:val="32"/>
          <w:shd w:val="clear" w:color="auto" w:fill="FFFFFF"/>
        </w:rPr>
        <w:t>深化科技应用</w:t>
      </w:r>
      <w:r>
        <w:rPr>
          <w:rFonts w:hint="eastAsia" w:ascii="仿宋_GB2312" w:hAnsi="仿宋" w:eastAsia="仿宋_GB2312" w:cs="仿宋"/>
          <w:sz w:val="32"/>
          <w:szCs w:val="32"/>
          <w:shd w:val="clear" w:color="auto" w:fill="FFFFFF"/>
        </w:rPr>
        <w:t>。加快推动智能交通建设，</w:t>
      </w:r>
      <w:r>
        <w:rPr>
          <w:rFonts w:ascii="Times New Roman" w:hAnsi="Times New Roman" w:eastAsia="仿宋_GB2312"/>
          <w:sz w:val="32"/>
        </w:rPr>
        <w:t>升级改造</w:t>
      </w:r>
      <w:r>
        <w:rPr>
          <w:rFonts w:hint="eastAsia" w:ascii="Times New Roman" w:hAnsi="Times New Roman" w:eastAsia="仿宋_GB2312"/>
          <w:sz w:val="32"/>
        </w:rPr>
        <w:t>科技信息</w:t>
      </w:r>
      <w:r>
        <w:rPr>
          <w:rFonts w:ascii="Times New Roman" w:hAnsi="Times New Roman" w:eastAsia="仿宋_GB2312"/>
          <w:sz w:val="32"/>
        </w:rPr>
        <w:t>设备，</w:t>
      </w:r>
      <w:r>
        <w:rPr>
          <w:rFonts w:hint="eastAsia" w:ascii="仿宋_GB2312" w:hAnsi="仿宋" w:eastAsia="仿宋_GB2312" w:cs="仿宋"/>
          <w:sz w:val="32"/>
          <w:szCs w:val="32"/>
          <w:shd w:val="clear" w:color="auto" w:fill="FFFFFF"/>
        </w:rPr>
        <w:t>深化指挥调度、疏堵保畅、精准打击、监管考核等综合应用，完善数据联通共享、部门联动共管、违法联勤共治的“三联机制”，实现动态监管“一图查”、应急处置“一键调”的效果。</w:t>
      </w:r>
    </w:p>
    <w:p>
      <w:pPr>
        <w:autoSpaceDE w:val="0"/>
        <w:autoSpaceDN w:val="0"/>
        <w:adjustRightInd w:val="0"/>
        <w:spacing w:line="640" w:lineRule="exact"/>
        <w:ind w:firstLine="640" w:firstLineChars="200"/>
        <w:jc w:val="left"/>
        <w:rPr>
          <w:rFonts w:hint="eastAsia" w:ascii="黑体" w:hAnsi="黑体" w:eastAsia="黑体" w:cs="仿宋_GB2312"/>
          <w:kern w:val="0"/>
          <w:sz w:val="32"/>
          <w:szCs w:val="32"/>
        </w:rPr>
      </w:pPr>
      <w:r>
        <w:rPr>
          <w:rFonts w:hint="eastAsia" w:ascii="黑体" w:hAnsi="黑体" w:eastAsia="黑体" w:cs="仿宋_GB2312"/>
          <w:kern w:val="0"/>
          <w:sz w:val="32"/>
          <w:szCs w:val="32"/>
        </w:rPr>
        <w:t>三、推进“</w:t>
      </w:r>
      <w:r>
        <w:rPr>
          <w:rFonts w:hint="eastAsia" w:ascii="黑体" w:hAnsi="黑体" w:eastAsia="黑体" w:cs="仿宋_GB2312"/>
          <w:kern w:val="0"/>
          <w:sz w:val="32"/>
          <w:szCs w:val="32"/>
          <w:lang w:val="en-US" w:eastAsia="zh-CN"/>
        </w:rPr>
        <w:t>四</w:t>
      </w:r>
      <w:r>
        <w:rPr>
          <w:rFonts w:hint="eastAsia" w:ascii="黑体" w:hAnsi="黑体" w:eastAsia="黑体" w:cs="仿宋_GB2312"/>
          <w:kern w:val="0"/>
          <w:sz w:val="32"/>
          <w:szCs w:val="32"/>
        </w:rPr>
        <w:t>大改革”</w:t>
      </w:r>
      <w:r>
        <w:rPr>
          <w:rFonts w:hint="eastAsia" w:ascii="黑体" w:hAnsi="黑体" w:eastAsia="黑体" w:cs="仿宋_GB2312"/>
          <w:kern w:val="0"/>
          <w:sz w:val="32"/>
          <w:szCs w:val="32"/>
          <w:lang w:eastAsia="zh-CN"/>
        </w:rPr>
        <w:t>，</w:t>
      </w:r>
      <w:r>
        <w:rPr>
          <w:rFonts w:hint="eastAsia" w:ascii="黑体" w:hAnsi="黑体" w:eastAsia="黑体" w:cs="仿宋_GB2312"/>
          <w:kern w:val="0"/>
          <w:sz w:val="32"/>
          <w:szCs w:val="32"/>
          <w:lang w:val="en-US" w:eastAsia="zh-CN"/>
        </w:rPr>
        <w:t>持续优化营商环境</w:t>
      </w:r>
    </w:p>
    <w:p>
      <w:pPr>
        <w:autoSpaceDE w:val="0"/>
        <w:autoSpaceDN w:val="0"/>
        <w:adjustRightInd w:val="0"/>
        <w:spacing w:line="640" w:lineRule="exact"/>
        <w:ind w:firstLine="630" w:firstLineChars="196"/>
        <w:jc w:val="left"/>
        <w:rPr>
          <w:rFonts w:hint="eastAsia" w:ascii="仿宋_GB2312" w:eastAsia="仿宋_GB2312"/>
          <w:color w:val="000000"/>
          <w:sz w:val="32"/>
          <w:szCs w:val="32"/>
        </w:rPr>
      </w:pPr>
      <w:r>
        <w:rPr>
          <w:rFonts w:hint="eastAsia" w:ascii="楷体" w:hAnsi="楷体" w:eastAsia="楷体" w:cs="仿宋"/>
          <w:b/>
          <w:sz w:val="32"/>
          <w:szCs w:val="32"/>
          <w:shd w:val="clear" w:color="auto" w:fill="FFFFFF"/>
        </w:rPr>
        <w:t>1</w:t>
      </w:r>
      <w:r>
        <w:rPr>
          <w:rFonts w:hint="eastAsia" w:ascii="楷体" w:hAnsi="楷体" w:eastAsia="楷体" w:cs="仿宋"/>
          <w:b/>
          <w:sz w:val="32"/>
          <w:szCs w:val="32"/>
          <w:shd w:val="clear" w:color="auto" w:fill="FFFFFF"/>
          <w:lang w:val="en-US" w:eastAsia="zh-CN"/>
        </w:rPr>
        <w:t>0</w:t>
      </w:r>
      <w:r>
        <w:rPr>
          <w:rFonts w:hint="eastAsia" w:ascii="楷体" w:hAnsi="楷体" w:eastAsia="楷体" w:cs="仿宋"/>
          <w:b/>
          <w:sz w:val="32"/>
          <w:szCs w:val="32"/>
          <w:shd w:val="clear" w:color="auto" w:fill="FFFFFF"/>
        </w:rPr>
        <w:t>.全面推进便民利企改革。</w:t>
      </w:r>
      <w:r>
        <w:rPr>
          <w:rFonts w:hint="eastAsia" w:ascii="仿宋_GB2312" w:eastAsia="仿宋_GB2312"/>
          <w:color w:val="000000"/>
          <w:sz w:val="32"/>
          <w:szCs w:val="32"/>
        </w:rPr>
        <w:t>全面落实“川渝通办”“一件事”及公安交管服务群众等重点改革项目，推进</w:t>
      </w:r>
      <w:r>
        <w:rPr>
          <w:rFonts w:hint="eastAsia" w:ascii="仿宋_GB2312" w:eastAsia="仿宋_GB2312"/>
          <w:color w:val="000000"/>
          <w:sz w:val="32"/>
          <w:szCs w:val="32"/>
          <w:lang w:val="en-US" w:eastAsia="zh-CN"/>
        </w:rPr>
        <w:t>交管12123语音服务、</w:t>
      </w:r>
      <w:r>
        <w:rPr>
          <w:rFonts w:hint="eastAsia" w:ascii="仿宋_GB2312" w:eastAsia="仿宋_GB2312"/>
          <w:color w:val="000000"/>
          <w:sz w:val="32"/>
          <w:szCs w:val="32"/>
        </w:rPr>
        <w:t>无人车管所建设</w:t>
      </w:r>
      <w:r>
        <w:rPr>
          <w:rFonts w:hint="eastAsia" w:ascii="仿宋_GB2312" w:eastAsia="仿宋_GB2312"/>
          <w:color w:val="000000"/>
          <w:sz w:val="32"/>
          <w:szCs w:val="32"/>
          <w:lang w:val="en-US" w:eastAsia="zh-CN"/>
        </w:rPr>
        <w:t>以及“互联网+公安交管”</w:t>
      </w:r>
      <w:r>
        <w:rPr>
          <w:rFonts w:hint="eastAsia" w:ascii="仿宋_GB2312" w:eastAsia="仿宋_GB2312"/>
          <w:color w:val="000000"/>
          <w:sz w:val="32"/>
          <w:szCs w:val="32"/>
        </w:rPr>
        <w:t>等便民利企新举措，积极回应群众企业新需求。</w:t>
      </w:r>
    </w:p>
    <w:p>
      <w:pPr>
        <w:autoSpaceDE w:val="0"/>
        <w:autoSpaceDN w:val="0"/>
        <w:adjustRightInd w:val="0"/>
        <w:spacing w:line="640" w:lineRule="exact"/>
        <w:ind w:firstLine="643" w:firstLineChars="200"/>
        <w:jc w:val="left"/>
        <w:rPr>
          <w:rFonts w:hint="eastAsia" w:ascii="黑体" w:hAnsi="黑体" w:eastAsia="黑体" w:cs="仿宋_GB2312"/>
          <w:kern w:val="0"/>
          <w:sz w:val="32"/>
          <w:szCs w:val="32"/>
        </w:rPr>
      </w:pPr>
      <w:r>
        <w:rPr>
          <w:rFonts w:hint="eastAsia" w:ascii="楷体" w:hAnsi="楷体" w:eastAsia="楷体" w:cs="仿宋"/>
          <w:b/>
          <w:sz w:val="32"/>
          <w:szCs w:val="32"/>
          <w:shd w:val="clear" w:color="auto" w:fill="FFFFFF"/>
        </w:rPr>
        <w:t>1</w:t>
      </w:r>
      <w:r>
        <w:rPr>
          <w:rFonts w:hint="eastAsia" w:ascii="楷体" w:hAnsi="楷体" w:eastAsia="楷体" w:cs="仿宋"/>
          <w:b/>
          <w:sz w:val="32"/>
          <w:szCs w:val="32"/>
          <w:shd w:val="clear" w:color="auto" w:fill="FFFFFF"/>
          <w:lang w:val="en-US" w:eastAsia="zh-CN"/>
        </w:rPr>
        <w:t>1</w:t>
      </w:r>
      <w:r>
        <w:rPr>
          <w:rFonts w:hint="eastAsia" w:ascii="楷体" w:hAnsi="楷体" w:eastAsia="楷体" w:cs="仿宋"/>
          <w:b/>
          <w:sz w:val="32"/>
          <w:szCs w:val="32"/>
          <w:shd w:val="clear" w:color="auto" w:fill="FFFFFF"/>
        </w:rPr>
        <w:t>.全面推动实施农村警务改革。</w:t>
      </w:r>
      <w:r>
        <w:rPr>
          <w:rFonts w:hint="eastAsia" w:ascii="仿宋_GB2312" w:eastAsia="仿宋_GB2312"/>
          <w:color w:val="000000"/>
          <w:sz w:val="32"/>
          <w:szCs w:val="32"/>
        </w:rPr>
        <w:t>推动“交所合一”“道安办”“两站两员”改革，持续优化农村地区交通安全劝导站功能和布局，推行乡镇负责人兼职乡镇交管办工作，健全农村交通安全管理责任体系。</w:t>
      </w:r>
    </w:p>
    <w:p>
      <w:pPr>
        <w:autoSpaceDE w:val="0"/>
        <w:autoSpaceDN w:val="0"/>
        <w:adjustRightInd w:val="0"/>
        <w:spacing w:line="640" w:lineRule="exact"/>
        <w:ind w:firstLine="643" w:firstLineChars="200"/>
        <w:jc w:val="left"/>
        <w:rPr>
          <w:rFonts w:hint="eastAsia" w:ascii="仿宋_GB2312" w:eastAsia="仿宋_GB2312"/>
          <w:color w:val="000000"/>
          <w:sz w:val="32"/>
          <w:szCs w:val="32"/>
        </w:rPr>
      </w:pPr>
      <w:r>
        <w:rPr>
          <w:rFonts w:hint="eastAsia" w:ascii="楷体" w:hAnsi="楷体" w:eastAsia="楷体" w:cs="仿宋"/>
          <w:b/>
          <w:sz w:val="32"/>
          <w:szCs w:val="32"/>
          <w:shd w:val="clear" w:color="auto" w:fill="FFFFFF"/>
        </w:rPr>
        <w:t>1</w:t>
      </w:r>
      <w:r>
        <w:rPr>
          <w:rFonts w:hint="eastAsia" w:ascii="楷体" w:hAnsi="楷体" w:eastAsia="楷体" w:cs="仿宋"/>
          <w:b/>
          <w:sz w:val="32"/>
          <w:szCs w:val="32"/>
          <w:shd w:val="clear" w:color="auto" w:fill="FFFFFF"/>
          <w:lang w:val="en-US" w:eastAsia="zh-CN"/>
        </w:rPr>
        <w:t>2</w:t>
      </w:r>
      <w:r>
        <w:rPr>
          <w:rFonts w:hint="eastAsia" w:ascii="楷体" w:hAnsi="楷体" w:eastAsia="楷体" w:cs="仿宋"/>
          <w:b/>
          <w:sz w:val="32"/>
          <w:szCs w:val="32"/>
          <w:shd w:val="clear" w:color="auto" w:fill="FFFFFF"/>
        </w:rPr>
        <w:t>.全面推动</w:t>
      </w:r>
      <w:r>
        <w:rPr>
          <w:rFonts w:ascii="楷体" w:hAnsi="楷体" w:eastAsia="楷体" w:cs="仿宋"/>
          <w:b/>
          <w:sz w:val="32"/>
          <w:szCs w:val="32"/>
          <w:shd w:val="clear" w:color="auto" w:fill="FFFFFF"/>
        </w:rPr>
        <w:t>交管</w:t>
      </w:r>
      <w:r>
        <w:rPr>
          <w:rFonts w:hint="eastAsia" w:ascii="楷体" w:hAnsi="楷体" w:eastAsia="楷体" w:cs="仿宋"/>
          <w:b/>
          <w:sz w:val="32"/>
          <w:szCs w:val="32"/>
          <w:shd w:val="clear" w:color="auto" w:fill="FFFFFF"/>
        </w:rPr>
        <w:t>执法服务改革。</w:t>
      </w:r>
      <w:r>
        <w:rPr>
          <w:rFonts w:hint="eastAsia" w:ascii="仿宋_GB2312" w:hAnsi="宋体" w:eastAsia="仿宋_GB2312" w:cs="宋体"/>
          <w:color w:val="000000"/>
          <w:kern w:val="0"/>
          <w:sz w:val="32"/>
          <w:szCs w:val="32"/>
        </w:rPr>
        <w:t>实施改进执法“六项措施”及“六个深化”措施，</w:t>
      </w:r>
      <w:r>
        <w:rPr>
          <w:rFonts w:hint="eastAsia" w:ascii="仿宋_GB2312" w:eastAsia="仿宋_GB2312"/>
          <w:color w:val="000000"/>
          <w:sz w:val="32"/>
          <w:szCs w:val="32"/>
        </w:rPr>
        <w:t>健全公安交警行政执法定期会商制度，完善执法数据统计分析、异常业务预警通报、执法音视频抽查检查等机制，</w:t>
      </w:r>
      <w:r>
        <w:rPr>
          <w:rFonts w:hint="eastAsia" w:ascii="仿宋_GB2312" w:eastAsia="仿宋_GB2312"/>
          <w:color w:val="000000"/>
          <w:sz w:val="32"/>
          <w:szCs w:val="32"/>
          <w:lang w:val="en-US" w:eastAsia="zh-CN"/>
        </w:rPr>
        <w:t>深化顽瘴痼疾常态整治，</w:t>
      </w:r>
      <w:r>
        <w:rPr>
          <w:rFonts w:hint="eastAsia" w:ascii="仿宋_GB2312" w:eastAsia="仿宋_GB2312"/>
          <w:color w:val="000000"/>
          <w:sz w:val="32"/>
          <w:szCs w:val="32"/>
        </w:rPr>
        <w:t>推进规范执法工作。</w:t>
      </w:r>
    </w:p>
    <w:p>
      <w:pPr>
        <w:autoSpaceDE w:val="0"/>
        <w:autoSpaceDN w:val="0"/>
        <w:adjustRightInd w:val="0"/>
        <w:spacing w:line="640" w:lineRule="exact"/>
        <w:ind w:firstLine="643" w:firstLineChars="200"/>
        <w:jc w:val="left"/>
        <w:rPr>
          <w:rFonts w:hint="eastAsia" w:ascii="仿宋_GB2312" w:eastAsia="仿宋_GB2312"/>
          <w:color w:val="000000"/>
          <w:sz w:val="32"/>
          <w:szCs w:val="32"/>
        </w:rPr>
      </w:pPr>
      <w:r>
        <w:rPr>
          <w:rFonts w:hint="eastAsia" w:ascii="楷体" w:hAnsi="楷体" w:eastAsia="楷体" w:cs="仿宋"/>
          <w:b/>
          <w:sz w:val="32"/>
          <w:szCs w:val="32"/>
          <w:shd w:val="clear" w:color="auto" w:fill="FFFFFF"/>
        </w:rPr>
        <w:t>1</w:t>
      </w:r>
      <w:r>
        <w:rPr>
          <w:rFonts w:hint="eastAsia" w:ascii="楷体" w:hAnsi="楷体" w:eastAsia="楷体" w:cs="仿宋"/>
          <w:b/>
          <w:sz w:val="32"/>
          <w:szCs w:val="32"/>
          <w:shd w:val="clear" w:color="auto" w:fill="FFFFFF"/>
          <w:lang w:val="en-US" w:eastAsia="zh-CN"/>
        </w:rPr>
        <w:t>3</w:t>
      </w:r>
      <w:r>
        <w:rPr>
          <w:rFonts w:hint="eastAsia" w:ascii="楷体" w:hAnsi="楷体" w:eastAsia="楷体" w:cs="仿宋"/>
          <w:b/>
          <w:sz w:val="32"/>
          <w:szCs w:val="32"/>
          <w:shd w:val="clear" w:color="auto" w:fill="FFFFFF"/>
        </w:rPr>
        <w:t>.全面推动交通安全教育改革。</w:t>
      </w:r>
      <w:r>
        <w:rPr>
          <w:rFonts w:hint="eastAsia" w:ascii="仿宋_GB2312" w:eastAsia="仿宋_GB2312"/>
          <w:color w:val="000000"/>
          <w:sz w:val="32"/>
          <w:szCs w:val="32"/>
        </w:rPr>
        <w:t>改进交通安全宣传教育机制，</w:t>
      </w:r>
      <w:r>
        <w:rPr>
          <w:rFonts w:hint="eastAsia" w:ascii="仿宋_GB2312" w:hAnsi="宋体" w:eastAsia="仿宋_GB2312" w:cs="宋体"/>
          <w:color w:val="000000"/>
          <w:kern w:val="0"/>
          <w:sz w:val="32"/>
          <w:szCs w:val="32"/>
        </w:rPr>
        <w:t>深化文明交通进驾校“五个一”行动，</w:t>
      </w:r>
      <w:r>
        <w:rPr>
          <w:rFonts w:hint="eastAsia" w:ascii="仿宋_GB2312" w:eastAsia="仿宋_GB2312"/>
          <w:color w:val="000000"/>
          <w:sz w:val="32"/>
          <w:szCs w:val="32"/>
        </w:rPr>
        <w:t>完善宣传内容体系</w:t>
      </w:r>
      <w:r>
        <w:rPr>
          <w:rFonts w:hint="eastAsia" w:ascii="仿宋_GB2312" w:eastAsia="仿宋_GB2312"/>
          <w:color w:val="000000"/>
          <w:sz w:val="32"/>
          <w:szCs w:val="32"/>
          <w:lang w:eastAsia="zh-CN"/>
        </w:rPr>
        <w:t>，</w:t>
      </w:r>
      <w:r>
        <w:rPr>
          <w:rFonts w:hint="eastAsia" w:ascii="仿宋_GB2312" w:eastAsia="仿宋_GB2312"/>
          <w:color w:val="000000"/>
          <w:sz w:val="32"/>
          <w:szCs w:val="32"/>
          <w:lang w:val="en-US" w:eastAsia="zh-CN"/>
        </w:rPr>
        <w:t>拓展延伸</w:t>
      </w:r>
      <w:r>
        <w:rPr>
          <w:rFonts w:hint="eastAsia" w:ascii="仿宋_GB2312" w:eastAsia="仿宋_GB2312"/>
          <w:color w:val="000000"/>
          <w:sz w:val="32"/>
          <w:szCs w:val="32"/>
        </w:rPr>
        <w:t>渠道载体，强化新媒体矩阵建设，文明</w:t>
      </w:r>
      <w:r>
        <w:rPr>
          <w:rFonts w:hint="eastAsia" w:ascii="仿宋_GB2312" w:hAnsi="宋体" w:eastAsia="仿宋_GB2312" w:cs="宋体"/>
          <w:color w:val="000000"/>
          <w:kern w:val="0"/>
          <w:sz w:val="32"/>
          <w:szCs w:val="32"/>
        </w:rPr>
        <w:t>推广宣传劝导志愿服务。</w:t>
      </w:r>
    </w:p>
    <w:p>
      <w:pPr>
        <w:autoSpaceDE w:val="0"/>
        <w:autoSpaceDN w:val="0"/>
        <w:adjustRightInd w:val="0"/>
        <w:spacing w:line="640" w:lineRule="exact"/>
        <w:ind w:firstLine="640" w:firstLineChars="200"/>
        <w:jc w:val="left"/>
        <w:rPr>
          <w:rFonts w:hint="eastAsia" w:ascii="黑体" w:hAnsi="黑体" w:eastAsia="黑体" w:cs="仿宋_GB2312"/>
          <w:kern w:val="0"/>
          <w:sz w:val="32"/>
          <w:szCs w:val="32"/>
        </w:rPr>
      </w:pPr>
      <w:r>
        <w:rPr>
          <w:rFonts w:hint="eastAsia" w:ascii="黑体" w:hAnsi="黑体" w:eastAsia="黑体" w:cs="仿宋_GB2312"/>
          <w:kern w:val="0"/>
          <w:sz w:val="32"/>
          <w:szCs w:val="32"/>
        </w:rPr>
        <w:t>四、</w:t>
      </w:r>
      <w:r>
        <w:rPr>
          <w:rFonts w:hint="eastAsia" w:ascii="黑体" w:hAnsi="黑体" w:eastAsia="黑体" w:cs="仿宋_GB2312"/>
          <w:kern w:val="0"/>
          <w:sz w:val="32"/>
          <w:szCs w:val="32"/>
          <w:lang w:val="en-US" w:eastAsia="zh-CN"/>
        </w:rPr>
        <w:t>推进</w:t>
      </w:r>
      <w:r>
        <w:rPr>
          <w:rFonts w:hint="eastAsia" w:ascii="黑体" w:hAnsi="黑体" w:eastAsia="黑体" w:cs="仿宋_GB2312"/>
          <w:kern w:val="0"/>
          <w:sz w:val="32"/>
          <w:szCs w:val="32"/>
        </w:rPr>
        <w:t>“五大工程”</w:t>
      </w:r>
      <w:r>
        <w:rPr>
          <w:rFonts w:hint="eastAsia" w:ascii="黑体" w:hAnsi="黑体" w:eastAsia="黑体" w:cs="仿宋_GB2312"/>
          <w:kern w:val="0"/>
          <w:sz w:val="32"/>
          <w:szCs w:val="32"/>
          <w:lang w:eastAsia="zh-CN"/>
        </w:rPr>
        <w:t>，</w:t>
      </w:r>
      <w:r>
        <w:rPr>
          <w:rFonts w:hint="eastAsia" w:ascii="黑体" w:hAnsi="黑体" w:eastAsia="黑体" w:cs="仿宋_GB2312"/>
          <w:kern w:val="0"/>
          <w:sz w:val="32"/>
          <w:szCs w:val="32"/>
          <w:lang w:val="en-US" w:eastAsia="zh-CN"/>
        </w:rPr>
        <w:t>锻造过硬交警铁军</w:t>
      </w:r>
    </w:p>
    <w:p>
      <w:pPr>
        <w:autoSpaceDE w:val="0"/>
        <w:autoSpaceDN w:val="0"/>
        <w:adjustRightInd w:val="0"/>
        <w:spacing w:line="640" w:lineRule="exact"/>
        <w:ind w:firstLine="643" w:firstLineChars="200"/>
        <w:jc w:val="left"/>
        <w:rPr>
          <w:rFonts w:hint="eastAsia" w:ascii="仿宋_GB2312" w:eastAsia="仿宋_GB2312" w:cs="仿宋_GB2312"/>
          <w:kern w:val="0"/>
          <w:sz w:val="32"/>
          <w:szCs w:val="32"/>
        </w:rPr>
      </w:pPr>
      <w:r>
        <w:rPr>
          <w:rFonts w:hint="eastAsia" w:ascii="楷体" w:hAnsi="楷体" w:eastAsia="楷体" w:cs="仿宋_GB2312"/>
          <w:b/>
          <w:kern w:val="0"/>
          <w:sz w:val="32"/>
          <w:szCs w:val="32"/>
        </w:rPr>
        <w:t>1</w:t>
      </w:r>
      <w:r>
        <w:rPr>
          <w:rFonts w:hint="eastAsia" w:ascii="楷体" w:hAnsi="楷体" w:eastAsia="楷体" w:cs="仿宋_GB2312"/>
          <w:b/>
          <w:kern w:val="0"/>
          <w:sz w:val="32"/>
          <w:szCs w:val="32"/>
          <w:lang w:val="en-US" w:eastAsia="zh-CN"/>
        </w:rPr>
        <w:t>4</w:t>
      </w:r>
      <w:r>
        <w:rPr>
          <w:rFonts w:hint="eastAsia" w:ascii="楷体" w:hAnsi="楷体" w:eastAsia="楷体" w:cs="仿宋_GB2312"/>
          <w:b/>
          <w:kern w:val="0"/>
          <w:sz w:val="32"/>
          <w:szCs w:val="32"/>
        </w:rPr>
        <w:t>.实施“引航工程”，突出政治建警固根本。</w:t>
      </w:r>
      <w:r>
        <w:rPr>
          <w:rFonts w:hint="eastAsia" w:ascii="仿宋_GB2312" w:eastAsia="仿宋_GB2312" w:cs="仿宋_GB2312"/>
          <w:kern w:val="0"/>
          <w:sz w:val="32"/>
          <w:szCs w:val="32"/>
        </w:rPr>
        <w:t>把学习贯彻党的二十大精神作为政治任务，</w:t>
      </w:r>
      <w:r>
        <w:rPr>
          <w:rFonts w:hint="eastAsia" w:ascii="仿宋_GB2312" w:eastAsia="仿宋_GB2312"/>
          <w:color w:val="000000"/>
          <w:sz w:val="32"/>
          <w:szCs w:val="32"/>
        </w:rPr>
        <w:t>刚性落实“第一议题”制度，用好</w:t>
      </w:r>
      <w:r>
        <w:rPr>
          <w:rFonts w:hint="eastAsia" w:ascii="仿宋_GB2312" w:eastAsia="仿宋_GB2312" w:cs="仿宋_GB2312"/>
          <w:kern w:val="0"/>
          <w:sz w:val="32"/>
          <w:szCs w:val="32"/>
        </w:rPr>
        <w:t>“三小三大”队伍建设品牌，</w:t>
      </w:r>
      <w:r>
        <w:rPr>
          <w:rFonts w:hint="eastAsia" w:ascii="仿宋_GB2312" w:eastAsia="仿宋_GB2312"/>
          <w:color w:val="000000"/>
          <w:sz w:val="32"/>
          <w:szCs w:val="32"/>
        </w:rPr>
        <w:t>第一时间学深悟透习近平新时代中国特色社会主义思想、重要指示、批示、讲话和党中央决策部署，</w:t>
      </w:r>
      <w:r>
        <w:rPr>
          <w:rFonts w:hint="eastAsia" w:ascii="仿宋_GB2312" w:eastAsia="仿宋_GB2312" w:cs="仿宋_GB2312"/>
          <w:kern w:val="0"/>
          <w:sz w:val="32"/>
          <w:szCs w:val="32"/>
        </w:rPr>
        <w:t>打牢高举旗帜、听党指挥、忠诚使命的思想根基。</w:t>
      </w:r>
    </w:p>
    <w:p>
      <w:pPr>
        <w:autoSpaceDE w:val="0"/>
        <w:autoSpaceDN w:val="0"/>
        <w:adjustRightInd w:val="0"/>
        <w:spacing w:line="640" w:lineRule="exact"/>
        <w:ind w:firstLine="643" w:firstLineChars="200"/>
        <w:jc w:val="left"/>
        <w:rPr>
          <w:rFonts w:hint="eastAsia" w:ascii="仿宋_GB2312" w:eastAsia="仿宋_GB2312"/>
          <w:color w:val="000000"/>
          <w:sz w:val="32"/>
          <w:szCs w:val="32"/>
        </w:rPr>
      </w:pPr>
      <w:r>
        <w:rPr>
          <w:rFonts w:hint="eastAsia" w:ascii="楷体" w:hAnsi="楷体" w:eastAsia="楷体" w:cs="仿宋_GB2312"/>
          <w:b/>
          <w:kern w:val="0"/>
          <w:sz w:val="32"/>
          <w:szCs w:val="32"/>
        </w:rPr>
        <w:t>1</w:t>
      </w:r>
      <w:r>
        <w:rPr>
          <w:rFonts w:hint="eastAsia" w:ascii="楷体" w:hAnsi="楷体" w:eastAsia="楷体" w:cs="仿宋_GB2312"/>
          <w:b/>
          <w:kern w:val="0"/>
          <w:sz w:val="32"/>
          <w:szCs w:val="32"/>
          <w:lang w:val="en-US" w:eastAsia="zh-CN"/>
        </w:rPr>
        <w:t>5</w:t>
      </w:r>
      <w:r>
        <w:rPr>
          <w:rFonts w:hint="eastAsia" w:ascii="楷体" w:hAnsi="楷体" w:eastAsia="楷体" w:cs="仿宋_GB2312"/>
          <w:b/>
          <w:kern w:val="0"/>
          <w:sz w:val="32"/>
          <w:szCs w:val="32"/>
        </w:rPr>
        <w:t>.实施“头雁工程”，深化示范引领提效能。</w:t>
      </w:r>
      <w:r>
        <w:rPr>
          <w:rFonts w:hint="eastAsia" w:ascii="仿宋_GB2312" w:eastAsia="仿宋_GB2312"/>
          <w:color w:val="000000"/>
          <w:sz w:val="32"/>
          <w:szCs w:val="32"/>
        </w:rPr>
        <w:t>加强各级班子建设，发挥各级领导干部的示范带动作用，做对党忠诚、执法为民、干事担当、清廉务实的表率，始终保持“赶考”的清醒、“冲锋”的勇气、“亮剑”的精神</w:t>
      </w:r>
      <w:r>
        <w:rPr>
          <w:rFonts w:hint="eastAsia" w:ascii="仿宋_GB2312" w:hAnsi="微软雅黑" w:eastAsia="仿宋_GB2312"/>
          <w:color w:val="000000"/>
          <w:sz w:val="32"/>
          <w:szCs w:val="32"/>
          <w:shd w:val="clear" w:color="auto" w:fill="FFFFFF"/>
        </w:rPr>
        <w:t>，逢旗必夺、逢先必争，</w:t>
      </w:r>
      <w:r>
        <w:rPr>
          <w:rFonts w:hint="eastAsia" w:ascii="仿宋_GB2312" w:eastAsia="仿宋_GB2312"/>
          <w:color w:val="000000"/>
          <w:sz w:val="32"/>
          <w:szCs w:val="32"/>
        </w:rPr>
        <w:t>以“关键少数”带动绝大多数，实现整体工作“走前列创一流”。</w:t>
      </w:r>
    </w:p>
    <w:p>
      <w:pPr>
        <w:autoSpaceDE w:val="0"/>
        <w:autoSpaceDN w:val="0"/>
        <w:adjustRightInd w:val="0"/>
        <w:spacing w:line="640" w:lineRule="exact"/>
        <w:ind w:firstLine="643" w:firstLineChars="200"/>
        <w:jc w:val="left"/>
        <w:rPr>
          <w:rFonts w:hint="eastAsia" w:ascii="仿宋_GB2312" w:eastAsia="仿宋_GB2312" w:cs="仿宋_GB2312"/>
          <w:kern w:val="0"/>
          <w:sz w:val="32"/>
          <w:szCs w:val="32"/>
        </w:rPr>
      </w:pPr>
      <w:r>
        <w:rPr>
          <w:rFonts w:hint="eastAsia" w:ascii="楷体" w:hAnsi="楷体" w:eastAsia="楷体" w:cs="仿宋_GB2312"/>
          <w:b/>
          <w:kern w:val="0"/>
          <w:sz w:val="32"/>
          <w:szCs w:val="32"/>
        </w:rPr>
        <w:t>1</w:t>
      </w:r>
      <w:r>
        <w:rPr>
          <w:rFonts w:hint="eastAsia" w:ascii="楷体" w:hAnsi="楷体" w:eastAsia="楷体" w:cs="仿宋_GB2312"/>
          <w:b/>
          <w:kern w:val="0"/>
          <w:sz w:val="32"/>
          <w:szCs w:val="32"/>
          <w:lang w:val="en-US" w:eastAsia="zh-CN"/>
        </w:rPr>
        <w:t>6</w:t>
      </w:r>
      <w:r>
        <w:rPr>
          <w:rFonts w:hint="eastAsia" w:ascii="楷体" w:hAnsi="楷体" w:eastAsia="楷体" w:cs="仿宋_GB2312"/>
          <w:b/>
          <w:kern w:val="0"/>
          <w:sz w:val="32"/>
          <w:szCs w:val="32"/>
        </w:rPr>
        <w:t>.实施“提能工程”，突出实战需要强素质。</w:t>
      </w:r>
      <w:r>
        <w:rPr>
          <w:rFonts w:hint="eastAsia" w:ascii="仿宋_GB2312" w:eastAsia="仿宋_GB2312" w:cs="仿宋_GB2312"/>
          <w:kern w:val="0"/>
          <w:sz w:val="32"/>
          <w:szCs w:val="32"/>
        </w:rPr>
        <w:t>按照分级分类、科学组训的原则，深化“大学习大练兵大比武”练兵活动，创新“上门送教”练兵模式，开展好“定期考”“对抗考”“抽检考”工作，重点开展</w:t>
      </w:r>
      <w:r>
        <w:rPr>
          <w:rFonts w:hint="eastAsia" w:ascii="仿宋_GB2312" w:hAnsi="Times New Roman" w:eastAsia="仿宋_GB2312"/>
          <w:color w:val="000000"/>
          <w:sz w:val="32"/>
          <w:szCs w:val="32"/>
        </w:rPr>
        <w:t>酒驾醉驾“八个一律”、交通事故现场安全防护“八个必须”培训，</w:t>
      </w:r>
      <w:r>
        <w:rPr>
          <w:rFonts w:hint="eastAsia" w:ascii="仿宋_GB2312" w:eastAsia="仿宋_GB2312" w:cs="仿宋_GB2312"/>
          <w:kern w:val="0"/>
          <w:sz w:val="32"/>
          <w:szCs w:val="32"/>
        </w:rPr>
        <w:t>推进业务工作与实战练兵紧密结合。</w:t>
      </w:r>
    </w:p>
    <w:p>
      <w:pPr>
        <w:autoSpaceDE w:val="0"/>
        <w:autoSpaceDN w:val="0"/>
        <w:adjustRightInd w:val="0"/>
        <w:spacing w:line="640" w:lineRule="exact"/>
        <w:ind w:firstLine="643" w:firstLineChars="200"/>
        <w:jc w:val="left"/>
        <w:rPr>
          <w:rFonts w:hint="eastAsia" w:ascii="仿宋_GB2312" w:eastAsia="仿宋_GB2312" w:cs="仿宋_GB2312"/>
          <w:kern w:val="0"/>
          <w:sz w:val="32"/>
          <w:szCs w:val="32"/>
        </w:rPr>
      </w:pPr>
      <w:r>
        <w:rPr>
          <w:rFonts w:hint="eastAsia" w:ascii="楷体" w:hAnsi="楷体" w:eastAsia="楷体" w:cs="仿宋_GB2312"/>
          <w:b/>
          <w:kern w:val="0"/>
          <w:sz w:val="32"/>
          <w:szCs w:val="32"/>
        </w:rPr>
        <w:t>1</w:t>
      </w:r>
      <w:r>
        <w:rPr>
          <w:rFonts w:hint="eastAsia" w:ascii="楷体" w:hAnsi="楷体" w:eastAsia="楷体" w:cs="仿宋_GB2312"/>
          <w:b/>
          <w:kern w:val="0"/>
          <w:sz w:val="32"/>
          <w:szCs w:val="32"/>
          <w:lang w:val="en-US" w:eastAsia="zh-CN"/>
        </w:rPr>
        <w:t>7</w:t>
      </w:r>
      <w:r>
        <w:rPr>
          <w:rFonts w:hint="eastAsia" w:ascii="楷体" w:hAnsi="楷体" w:eastAsia="楷体" w:cs="仿宋_GB2312"/>
          <w:b/>
          <w:kern w:val="0"/>
          <w:sz w:val="32"/>
          <w:szCs w:val="32"/>
        </w:rPr>
        <w:t>.实施“修廉工程”，从严管党治警树廉洁。</w:t>
      </w:r>
      <w:r>
        <w:rPr>
          <w:rFonts w:hint="eastAsia" w:ascii="仿宋_GB2312" w:eastAsia="仿宋_GB2312" w:cs="仿宋_GB2312"/>
          <w:kern w:val="0"/>
          <w:sz w:val="32"/>
          <w:szCs w:val="32"/>
        </w:rPr>
        <w:t>保持“严”的主基调，压紧压实各级党组织主体责任</w:t>
      </w:r>
      <w:r>
        <w:rPr>
          <w:rFonts w:hint="eastAsia" w:ascii="仿宋_GB2312" w:hAnsi="Times New Roman" w:eastAsia="仿宋_GB2312"/>
          <w:color w:val="000000"/>
          <w:sz w:val="32"/>
          <w:szCs w:val="32"/>
          <w:shd w:val="clear" w:color="auto" w:fill="FFFFFF"/>
        </w:rPr>
        <w:t>，严格落实中央八项规定精以及省市、部厅各项铁规禁令；</w:t>
      </w:r>
      <w:r>
        <w:rPr>
          <w:rFonts w:hint="eastAsia" w:ascii="仿宋_GB2312" w:eastAsia="仿宋_GB2312" w:cs="仿宋_GB2312"/>
          <w:kern w:val="0"/>
          <w:sz w:val="32"/>
          <w:szCs w:val="32"/>
        </w:rPr>
        <w:t>健全完善重点岗位管理、热点岗位交流轮岗系列制度，建立可复制、管长远的机制体系，增强制度的落实力和执行力。</w:t>
      </w:r>
    </w:p>
    <w:p>
      <w:pPr>
        <w:autoSpaceDE w:val="0"/>
        <w:autoSpaceDN w:val="0"/>
        <w:adjustRightInd w:val="0"/>
        <w:spacing w:line="640" w:lineRule="exact"/>
        <w:ind w:firstLine="643" w:firstLineChars="200"/>
        <w:jc w:val="left"/>
        <w:rPr>
          <w:rFonts w:hint="eastAsia" w:ascii="仿宋_GB2312" w:eastAsia="仿宋_GB2312" w:cs="仿宋_GB2312"/>
          <w:kern w:val="0"/>
          <w:sz w:val="32"/>
          <w:szCs w:val="32"/>
        </w:rPr>
      </w:pPr>
      <w:r>
        <w:rPr>
          <w:rFonts w:hint="eastAsia" w:ascii="楷体" w:hAnsi="楷体" w:eastAsia="楷体" w:cs="仿宋_GB2312"/>
          <w:b/>
          <w:kern w:val="0"/>
          <w:sz w:val="32"/>
          <w:szCs w:val="32"/>
          <w:lang w:val="en-US" w:eastAsia="zh-CN"/>
        </w:rPr>
        <w:t>18</w:t>
      </w:r>
      <w:r>
        <w:rPr>
          <w:rFonts w:hint="eastAsia" w:ascii="楷体" w:hAnsi="楷体" w:eastAsia="楷体" w:cs="仿宋_GB2312"/>
          <w:b/>
          <w:kern w:val="0"/>
          <w:sz w:val="32"/>
          <w:szCs w:val="32"/>
        </w:rPr>
        <w:t>.实施“凝心工程”，践行以警为本聚警心。</w:t>
      </w:r>
      <w:r>
        <w:rPr>
          <w:rFonts w:hint="eastAsia" w:ascii="仿宋_GB2312" w:eastAsia="仿宋_GB2312" w:cs="仿宋_GB2312"/>
          <w:kern w:val="0"/>
          <w:sz w:val="32"/>
          <w:szCs w:val="32"/>
        </w:rPr>
        <w:t>落实生日祝福、退休仪式等暖警措施，维护辅警权益、关心身心健康，让“有困难找组织”成为民警辅警的第一选择；坚持倾斜基层一线，用足用好表彰奖励政策，深入挖掘先进事迹，树立正确导向，营造干事创业良好氛围。</w:t>
      </w:r>
    </w:p>
    <w:p/>
    <w:p>
      <w:pPr>
        <w:shd w:val="clear"/>
        <w:spacing w:line="576" w:lineRule="exact"/>
        <w:ind w:firstLine="640" w:firstLineChars="200"/>
        <w:outlineLvl w:val="0"/>
        <w:rPr>
          <w:rFonts w:ascii="黑体" w:hAnsi="黑体" w:eastAsia="黑体" w:cs="黑体"/>
          <w:sz w:val="32"/>
          <w:szCs w:val="32"/>
        </w:rPr>
      </w:pPr>
      <w:r>
        <w:rPr>
          <w:rFonts w:hint="eastAsia" w:ascii="黑体" w:hAnsi="黑体" w:eastAsia="黑体" w:cs="黑体"/>
          <w:sz w:val="32"/>
          <w:szCs w:val="32"/>
        </w:rPr>
        <w:t>二、部门预算单位构成</w:t>
      </w:r>
      <w:bookmarkEnd w:id="4"/>
    </w:p>
    <w:p>
      <w:pPr>
        <w:shd w:val="clear"/>
        <w:ind w:firstLine="640" w:firstLineChars="200"/>
        <w:rPr>
          <w:rFonts w:ascii="仿宋_GB2312" w:eastAsia="仿宋_GB2312"/>
          <w:sz w:val="32"/>
          <w:szCs w:val="32"/>
        </w:rPr>
      </w:pPr>
      <w:r>
        <w:rPr>
          <w:rFonts w:hint="eastAsia" w:ascii="仿宋_GB2312" w:eastAsia="仿宋_GB2312"/>
          <w:sz w:val="32"/>
          <w:szCs w:val="32"/>
        </w:rPr>
        <w:t>从单位结构来看，广元市公安局交通警察支队部门预算包括：支队机关、一大队、二大队、三大队、四大队，特勤大队、车管所、非机动车管理所，</w:t>
      </w:r>
      <w:r>
        <w:rPr>
          <w:rFonts w:hint="eastAsia" w:ascii="仿宋_GB2312" w:eastAsia="仿宋_GB2312"/>
          <w:sz w:val="32"/>
          <w:szCs w:val="32"/>
          <w:lang w:eastAsia="zh-CN"/>
        </w:rPr>
        <w:t>均未独立预算，</w:t>
      </w:r>
      <w:r>
        <w:rPr>
          <w:rFonts w:hint="eastAsia" w:ascii="仿宋_GB2312" w:eastAsia="仿宋_GB2312"/>
          <w:sz w:val="32"/>
          <w:szCs w:val="32"/>
        </w:rPr>
        <w:t xml:space="preserve">无二级预算单位。 </w:t>
      </w:r>
    </w:p>
    <w:p>
      <w:pPr>
        <w:shd w:val="clear"/>
        <w:spacing w:line="576" w:lineRule="exact"/>
        <w:ind w:firstLine="640" w:firstLineChars="200"/>
        <w:outlineLvl w:val="0"/>
        <w:rPr>
          <w:rFonts w:ascii="黑体" w:hAnsi="黑体" w:eastAsia="黑体" w:cs="黑体"/>
          <w:sz w:val="32"/>
          <w:szCs w:val="32"/>
        </w:rPr>
      </w:pPr>
      <w:bookmarkStart w:id="5" w:name="_Toc13845"/>
      <w:r>
        <w:rPr>
          <w:rFonts w:hint="eastAsia" w:ascii="黑体" w:hAnsi="黑体" w:eastAsia="黑体" w:cs="黑体"/>
          <w:sz w:val="32"/>
          <w:szCs w:val="32"/>
        </w:rPr>
        <w:t>三、收支预算情况说明</w:t>
      </w:r>
      <w:bookmarkEnd w:id="5"/>
    </w:p>
    <w:p>
      <w:pPr>
        <w:shd w:val="clear"/>
        <w:ind w:firstLine="640" w:firstLineChars="200"/>
        <w:rPr>
          <w:rFonts w:ascii="仿宋_GB2312" w:eastAsia="仿宋_GB2312"/>
          <w:sz w:val="32"/>
          <w:szCs w:val="32"/>
        </w:rPr>
      </w:pPr>
      <w:r>
        <w:rPr>
          <w:rFonts w:hint="eastAsia" w:ascii="仿宋_GB2312" w:eastAsia="仿宋_GB2312"/>
          <w:sz w:val="32"/>
          <w:szCs w:val="32"/>
        </w:rPr>
        <w:t>按照综合预算的原则，广元市公安局交通警察支队所有收入和支出均纳入部门预算管理。收入包括：一般公共预算拨款收入、</w:t>
      </w:r>
      <w:r>
        <w:rPr>
          <w:rFonts w:hint="eastAsia" w:ascii="仿宋_GB2312" w:hAnsi="仿宋_GB2312" w:eastAsia="仿宋_GB2312"/>
          <w:color w:val="333333"/>
          <w:sz w:val="32"/>
          <w:szCs w:val="32"/>
        </w:rPr>
        <w:t>其他收入</w:t>
      </w:r>
      <w:r>
        <w:rPr>
          <w:rFonts w:hint="eastAsia" w:ascii="仿宋_GB2312" w:eastAsia="仿宋_GB2312"/>
          <w:sz w:val="32"/>
          <w:szCs w:val="32"/>
        </w:rPr>
        <w:t>；支出包括：公共安全支出、社会保障和就业支出、卫生健康支出、住房保障支出。广元市公安局交通警察支队2024年</w:t>
      </w:r>
      <w:r>
        <w:rPr>
          <w:rFonts w:hint="eastAsia" w:ascii="仿宋_GB2312" w:hAnsi="仿宋_GB2312" w:eastAsia="仿宋_GB2312" w:cs="仿宋_GB2312"/>
          <w:sz w:val="32"/>
          <w:szCs w:val="32"/>
        </w:rPr>
        <w:t>收支预算总数</w:t>
      </w:r>
      <w:r>
        <w:rPr>
          <w:rFonts w:hint="eastAsia" w:ascii="仿宋_GB2312" w:eastAsia="仿宋_GB2312"/>
          <w:sz w:val="32"/>
          <w:szCs w:val="32"/>
        </w:rPr>
        <w:t>7799.8万元</w:t>
      </w:r>
      <w:r>
        <w:rPr>
          <w:rFonts w:hint="eastAsia" w:ascii="仿宋_GB2312" w:eastAsia="仿宋_GB2312"/>
          <w:sz w:val="32"/>
          <w:szCs w:val="32"/>
          <w:lang w:eastAsia="zh-CN"/>
        </w:rPr>
        <w:t>，</w:t>
      </w:r>
      <w:r>
        <w:rPr>
          <w:rFonts w:hint="eastAsia" w:ascii="仿宋_GB2312" w:eastAsia="仿宋_GB2312"/>
          <w:sz w:val="32"/>
          <w:szCs w:val="32"/>
        </w:rPr>
        <w:t>比2023年收支预算总数增加111.58万元，主要原因是：一是开发</w:t>
      </w:r>
      <w:r>
        <w:rPr>
          <w:rFonts w:hint="eastAsia" w:ascii="仿宋_GB2312" w:hAnsi="仿宋_GB2312" w:eastAsia="仿宋_GB2312" w:cs="仿宋_GB2312"/>
          <w:sz w:val="32"/>
          <w:szCs w:val="32"/>
        </w:rPr>
        <w:t>区拨协警员经费（代管资金）预算到其他收入中；二是人员经费预算增加，正常职级晋升、</w:t>
      </w:r>
      <w:r>
        <w:rPr>
          <w:rFonts w:hint="eastAsia" w:ascii="仿宋_GB2312" w:eastAsia="仿宋_GB2312"/>
          <w:sz w:val="32"/>
          <w:szCs w:val="32"/>
        </w:rPr>
        <w:t xml:space="preserve">民警社会保险及公积金缴费基数上涨，导致预算增加。 </w:t>
      </w:r>
    </w:p>
    <w:p>
      <w:pPr>
        <w:shd w:val="clear"/>
        <w:spacing w:line="576" w:lineRule="exact"/>
        <w:ind w:firstLine="640" w:firstLineChars="200"/>
        <w:outlineLvl w:val="1"/>
        <w:rPr>
          <w:rFonts w:ascii="楷体_GB2312" w:hAnsi="楷体_GB2312" w:eastAsia="楷体_GB2312" w:cs="楷体_GB2312"/>
          <w:sz w:val="32"/>
          <w:szCs w:val="32"/>
        </w:rPr>
      </w:pPr>
      <w:bookmarkStart w:id="6" w:name="_Toc30916"/>
      <w:r>
        <w:rPr>
          <w:rFonts w:hint="eastAsia" w:ascii="楷体_GB2312" w:hAnsi="楷体_GB2312" w:eastAsia="楷体_GB2312" w:cs="楷体_GB2312"/>
          <w:sz w:val="32"/>
          <w:szCs w:val="32"/>
        </w:rPr>
        <w:t>（一）收入预算情况</w:t>
      </w:r>
      <w:bookmarkEnd w:id="6"/>
    </w:p>
    <w:p>
      <w:pPr>
        <w:shd w:val="clear"/>
        <w:ind w:firstLine="640" w:firstLineChars="200"/>
        <w:rPr>
          <w:rFonts w:ascii="仿宋_GB2312" w:eastAsia="仿宋_GB2312"/>
          <w:sz w:val="32"/>
          <w:szCs w:val="32"/>
        </w:rPr>
      </w:pPr>
      <w:r>
        <w:rPr>
          <w:rFonts w:hint="eastAsia" w:ascii="仿宋_GB2312" w:eastAsia="仿宋_GB2312"/>
          <w:sz w:val="32"/>
          <w:szCs w:val="32"/>
        </w:rPr>
        <w:t>广元市公安局交通警察支队2024年收入预算7799.8万元，其中：一般公共预算拨款收入7734.8万元，占99.17%，其他收入65万元，占0.83%。</w:t>
      </w:r>
    </w:p>
    <w:p>
      <w:pPr>
        <w:shd w:val="clear"/>
        <w:spacing w:line="576" w:lineRule="exact"/>
        <w:ind w:firstLine="640" w:firstLineChars="200"/>
        <w:outlineLvl w:val="1"/>
        <w:rPr>
          <w:rFonts w:ascii="楷体_GB2312" w:hAnsi="楷体_GB2312" w:eastAsia="楷体_GB2312" w:cs="楷体_GB2312"/>
          <w:sz w:val="32"/>
          <w:szCs w:val="32"/>
        </w:rPr>
      </w:pPr>
      <w:bookmarkStart w:id="7" w:name="_Toc18775"/>
      <w:r>
        <w:rPr>
          <w:rFonts w:hint="eastAsia" w:ascii="楷体_GB2312" w:hAnsi="楷体_GB2312" w:eastAsia="楷体_GB2312" w:cs="楷体_GB2312"/>
          <w:sz w:val="32"/>
          <w:szCs w:val="32"/>
        </w:rPr>
        <w:t>（二）支出预算情况</w:t>
      </w:r>
      <w:bookmarkEnd w:id="7"/>
    </w:p>
    <w:p>
      <w:pPr>
        <w:shd w:val="clear"/>
        <w:ind w:firstLine="640" w:firstLineChars="200"/>
        <w:rPr>
          <w:rFonts w:ascii="仿宋_GB2312" w:eastAsia="仿宋_GB2312"/>
          <w:sz w:val="32"/>
          <w:szCs w:val="32"/>
        </w:rPr>
      </w:pPr>
      <w:r>
        <w:rPr>
          <w:rFonts w:hint="eastAsia" w:ascii="仿宋_GB2312" w:eastAsia="仿宋_GB2312"/>
          <w:sz w:val="32"/>
          <w:szCs w:val="32"/>
        </w:rPr>
        <w:t>广元市公安局交通警察支队2024年支出预算7799.8万元，其中：基本支出5066.73万元，占64.96%；项目支出2733.07万元，占35.04%。</w:t>
      </w:r>
    </w:p>
    <w:p>
      <w:pPr>
        <w:shd w:val="clear"/>
        <w:spacing w:line="576" w:lineRule="exact"/>
        <w:ind w:firstLine="640" w:firstLineChars="200"/>
        <w:outlineLvl w:val="0"/>
        <w:rPr>
          <w:rFonts w:ascii="黑体" w:hAnsi="黑体" w:eastAsia="黑体" w:cs="黑体"/>
          <w:sz w:val="32"/>
          <w:szCs w:val="32"/>
        </w:rPr>
      </w:pPr>
      <w:bookmarkStart w:id="8" w:name="_Toc24939"/>
      <w:r>
        <w:rPr>
          <w:rFonts w:hint="eastAsia" w:ascii="黑体" w:hAnsi="黑体" w:eastAsia="黑体" w:cs="黑体"/>
          <w:sz w:val="32"/>
          <w:szCs w:val="32"/>
        </w:rPr>
        <w:t>四、财政拨款收支预算情况说明</w:t>
      </w:r>
      <w:bookmarkEnd w:id="8"/>
    </w:p>
    <w:p>
      <w:pPr>
        <w:shd w:val="clear"/>
        <w:ind w:firstLine="640" w:firstLineChars="200"/>
        <w:rPr>
          <w:rFonts w:ascii="仿宋_GB2312" w:eastAsia="仿宋_GB2312"/>
          <w:sz w:val="32"/>
          <w:szCs w:val="32"/>
        </w:rPr>
      </w:pPr>
      <w:r>
        <w:rPr>
          <w:rFonts w:hint="eastAsia" w:ascii="仿宋_GB2312" w:eastAsia="仿宋_GB2312"/>
          <w:sz w:val="32"/>
          <w:szCs w:val="32"/>
        </w:rPr>
        <w:t>广元市公安局交通警察支队</w:t>
      </w:r>
      <w:r>
        <w:rPr>
          <w:rFonts w:hint="eastAsia" w:ascii="仿宋_GB2312" w:hAnsi="仿宋_GB2312" w:eastAsia="仿宋_GB2312" w:cs="仿宋_GB2312"/>
          <w:sz w:val="32"/>
          <w:szCs w:val="32"/>
        </w:rPr>
        <w:t>2024年财政拨款收支预算总数</w:t>
      </w:r>
      <w:r>
        <w:rPr>
          <w:rFonts w:hint="eastAsia" w:ascii="仿宋_GB2312" w:eastAsia="仿宋_GB2312"/>
          <w:sz w:val="32"/>
          <w:szCs w:val="32"/>
        </w:rPr>
        <w:t>7734.8万元</w:t>
      </w:r>
      <w:r>
        <w:rPr>
          <w:rFonts w:hint="eastAsia" w:ascii="仿宋_GB2312" w:eastAsia="仿宋_GB2312"/>
          <w:sz w:val="32"/>
          <w:szCs w:val="32"/>
          <w:lang w:eastAsia="zh-CN"/>
        </w:rPr>
        <w:t>，</w:t>
      </w:r>
      <w:r>
        <w:rPr>
          <w:rFonts w:hint="eastAsia" w:ascii="仿宋_GB2312" w:eastAsia="仿宋_GB2312"/>
          <w:sz w:val="32"/>
          <w:szCs w:val="32"/>
        </w:rPr>
        <w:t>比2023年</w:t>
      </w:r>
      <w:r>
        <w:rPr>
          <w:rFonts w:hint="eastAsia" w:ascii="仿宋_GB2312" w:hAnsi="仿宋_GB2312" w:eastAsia="仿宋_GB2312" w:cs="仿宋_GB2312"/>
          <w:sz w:val="32"/>
          <w:szCs w:val="32"/>
        </w:rPr>
        <w:t>财政拨款收支预算总数</w:t>
      </w:r>
      <w:r>
        <w:rPr>
          <w:rFonts w:hint="eastAsia" w:ascii="仿宋_GB2312" w:eastAsia="仿宋_GB2312"/>
          <w:sz w:val="32"/>
          <w:szCs w:val="32"/>
        </w:rPr>
        <w:t xml:space="preserve">增加46.58万元，主要原因是人员经费预算增加，正常职级晋升、民警社会保险及公积金缴费基数上涨，导致预算增加。 </w:t>
      </w:r>
    </w:p>
    <w:p>
      <w:pPr>
        <w:shd w:val="clear"/>
        <w:ind w:firstLine="640" w:firstLineChars="200"/>
        <w:rPr>
          <w:rFonts w:ascii="仿宋_GB2312" w:eastAsia="仿宋_GB2312"/>
          <w:sz w:val="32"/>
          <w:szCs w:val="32"/>
        </w:rPr>
      </w:pPr>
      <w:r>
        <w:rPr>
          <w:rFonts w:hint="eastAsia" w:ascii="仿宋_GB2312" w:eastAsia="仿宋_GB2312"/>
          <w:sz w:val="32"/>
          <w:szCs w:val="32"/>
        </w:rPr>
        <w:t>收入包括：本年一般公共预算拨款收入</w:t>
      </w:r>
      <w:r>
        <w:rPr>
          <w:rFonts w:hint="eastAsia" w:ascii="仿宋_GB2312" w:eastAsia="仿宋_GB2312"/>
          <w:color w:val="000000" w:themeColor="text1"/>
          <w:sz w:val="32"/>
          <w:szCs w:val="32"/>
          <w14:textFill>
            <w14:solidFill>
              <w14:schemeClr w14:val="tx1"/>
            </w14:solidFill>
          </w14:textFill>
        </w:rPr>
        <w:t>7734.8万元。支出包括：公共安全支出6715.09万元、社会保障和就业支出450.26万元、卫生健康支出170.72万元、住房保障支出398.73万元。</w:t>
      </w:r>
    </w:p>
    <w:p>
      <w:pPr>
        <w:shd w:val="clear"/>
        <w:spacing w:line="576" w:lineRule="exact"/>
        <w:ind w:firstLine="640" w:firstLineChars="200"/>
        <w:outlineLvl w:val="0"/>
        <w:rPr>
          <w:rFonts w:ascii="黑体" w:hAnsi="黑体" w:eastAsia="黑体" w:cs="黑体"/>
          <w:sz w:val="32"/>
          <w:szCs w:val="32"/>
        </w:rPr>
      </w:pPr>
      <w:bookmarkStart w:id="9" w:name="_Toc16568"/>
      <w:r>
        <w:rPr>
          <w:rFonts w:hint="eastAsia" w:ascii="黑体" w:hAnsi="黑体" w:eastAsia="黑体" w:cs="黑体"/>
          <w:sz w:val="32"/>
          <w:szCs w:val="32"/>
        </w:rPr>
        <w:t>五、一般公共预算当年拨款情况说明</w:t>
      </w:r>
      <w:bookmarkEnd w:id="9"/>
    </w:p>
    <w:p>
      <w:pPr>
        <w:shd w:val="clear"/>
        <w:spacing w:line="576" w:lineRule="exact"/>
        <w:ind w:firstLine="640" w:firstLineChars="200"/>
        <w:outlineLvl w:val="1"/>
        <w:rPr>
          <w:rFonts w:ascii="楷体_GB2312" w:hAnsi="楷体_GB2312" w:eastAsia="楷体_GB2312" w:cs="楷体_GB2312"/>
          <w:sz w:val="32"/>
          <w:szCs w:val="32"/>
        </w:rPr>
      </w:pPr>
      <w:bookmarkStart w:id="10" w:name="_Toc7521"/>
      <w:r>
        <w:rPr>
          <w:rFonts w:hint="eastAsia" w:ascii="楷体_GB2312" w:hAnsi="楷体_GB2312" w:eastAsia="楷体_GB2312" w:cs="楷体_GB2312"/>
          <w:sz w:val="32"/>
          <w:szCs w:val="32"/>
        </w:rPr>
        <w:t>（一）一般公共预算当年拨款规模变化情况</w:t>
      </w:r>
      <w:bookmarkEnd w:id="10"/>
    </w:p>
    <w:p>
      <w:pPr>
        <w:shd w:val="clear"/>
        <w:ind w:firstLine="640" w:firstLineChars="200"/>
        <w:rPr>
          <w:rFonts w:ascii="仿宋_GB2312" w:eastAsia="仿宋_GB2312"/>
          <w:sz w:val="32"/>
          <w:szCs w:val="32"/>
        </w:rPr>
      </w:pPr>
      <w:r>
        <w:rPr>
          <w:rFonts w:hint="eastAsia" w:ascii="仿宋_GB2312" w:eastAsia="仿宋_GB2312"/>
          <w:sz w:val="32"/>
          <w:szCs w:val="32"/>
        </w:rPr>
        <w:t xml:space="preserve">广元市公安局交通警察支队2024年一般公共预算当年拨款7734.8万元，比2023年预算数增加46.58万元，主要原因是人员经费预算增加，正常职级晋升、民警社会保险及公积金缴费基数上涨，导致预算增加。 </w:t>
      </w:r>
    </w:p>
    <w:p>
      <w:pPr>
        <w:shd w:val="clear"/>
        <w:spacing w:line="576" w:lineRule="exact"/>
        <w:ind w:firstLine="640" w:firstLineChars="200"/>
        <w:outlineLvl w:val="1"/>
        <w:rPr>
          <w:rFonts w:ascii="楷体_GB2312" w:hAnsi="楷体_GB2312" w:eastAsia="楷体_GB2312" w:cs="楷体_GB2312"/>
          <w:sz w:val="32"/>
          <w:szCs w:val="32"/>
        </w:rPr>
      </w:pPr>
      <w:bookmarkStart w:id="11" w:name="_Toc1063"/>
      <w:r>
        <w:rPr>
          <w:rFonts w:hint="eastAsia" w:ascii="楷体_GB2312" w:hAnsi="楷体_GB2312" w:eastAsia="楷体_GB2312" w:cs="楷体_GB2312"/>
          <w:sz w:val="32"/>
          <w:szCs w:val="32"/>
        </w:rPr>
        <w:t>（二）一般公共预算当年拨款结构情况</w:t>
      </w:r>
      <w:bookmarkEnd w:id="11"/>
    </w:p>
    <w:p>
      <w:pPr>
        <w:shd w:val="clear"/>
        <w:spacing w:line="576" w:lineRule="exact"/>
        <w:ind w:firstLine="640" w:firstLineChars="200"/>
        <w:rPr>
          <w:rFonts w:ascii="仿宋_GB2312" w:hAnsi="仿宋_GB2312" w:eastAsia="仿宋_GB2312" w:cs="仿宋_GB2312"/>
          <w:b/>
          <w:bCs/>
          <w:sz w:val="32"/>
          <w:szCs w:val="32"/>
        </w:rPr>
      </w:pPr>
      <w:r>
        <w:rPr>
          <w:rFonts w:hint="eastAsia" w:ascii="仿宋_GB2312" w:eastAsia="仿宋_GB2312"/>
          <w:sz w:val="32"/>
          <w:szCs w:val="32"/>
        </w:rPr>
        <w:t>公共安全支出6715.09万元，占86.82%；社会保障和就业支出450.26万元，占5.82%；卫生健康支出170.72万元，占2.21%；住房保障支出398.73万元，占5.15%。</w:t>
      </w:r>
    </w:p>
    <w:p>
      <w:pPr>
        <w:shd w:val="clear"/>
        <w:spacing w:line="576" w:lineRule="exact"/>
        <w:ind w:firstLine="640" w:firstLineChars="200"/>
        <w:outlineLvl w:val="1"/>
        <w:rPr>
          <w:rFonts w:ascii="楷体_GB2312" w:hAnsi="楷体_GB2312" w:eastAsia="楷体_GB2312" w:cs="楷体_GB2312"/>
          <w:sz w:val="32"/>
          <w:szCs w:val="32"/>
        </w:rPr>
      </w:pPr>
      <w:bookmarkStart w:id="12" w:name="_Toc21577"/>
      <w:r>
        <w:rPr>
          <w:rFonts w:hint="eastAsia" w:ascii="楷体_GB2312" w:hAnsi="楷体_GB2312" w:eastAsia="楷体_GB2312" w:cs="楷体_GB2312"/>
          <w:sz w:val="32"/>
          <w:szCs w:val="32"/>
        </w:rPr>
        <w:t>（三）一般公共预算当年拨款具体使用情况</w:t>
      </w:r>
      <w:bookmarkEnd w:id="12"/>
    </w:p>
    <w:p>
      <w:pPr>
        <w:widowControl/>
        <w:shd w:val="clear"/>
        <w:ind w:firstLine="640" w:firstLineChars="200"/>
        <w:jc w:val="left"/>
      </w:pPr>
      <w:r>
        <w:rPr>
          <w:rFonts w:hint="eastAsia" w:ascii="仿宋_GB2312" w:eastAsia="仿宋_GB2312"/>
          <w:sz w:val="32"/>
          <w:szCs w:val="32"/>
        </w:rPr>
        <w:t>1. 公共安全（类）公安（款）行政运行（项）2024年预算数为3441.71万元，主要用于：行政执法单位人员经费</w:t>
      </w:r>
      <w:r>
        <w:rPr>
          <w:rFonts w:hint="eastAsia" w:ascii="仿宋_GB2312" w:hAnsi="Times New Roman" w:eastAsia="仿宋_GB2312" w:cs="仿宋_GB2312"/>
          <w:color w:val="000000"/>
          <w:kern w:val="0"/>
          <w:sz w:val="32"/>
          <w:szCs w:val="32"/>
        </w:rPr>
        <w:t>，包括基本工资、津贴补贴、奖金等。</w:t>
      </w:r>
    </w:p>
    <w:p>
      <w:pPr>
        <w:shd w:val="clear"/>
        <w:ind w:firstLine="640" w:firstLineChars="200"/>
        <w:rPr>
          <w:rFonts w:ascii="仿宋_GB2312" w:eastAsia="仿宋_GB2312"/>
          <w:sz w:val="32"/>
          <w:szCs w:val="32"/>
        </w:rPr>
      </w:pPr>
      <w:r>
        <w:rPr>
          <w:rFonts w:hint="eastAsia" w:ascii="仿宋_GB2312" w:eastAsia="仿宋_GB2312"/>
          <w:sz w:val="32"/>
          <w:szCs w:val="32"/>
        </w:rPr>
        <w:t xml:space="preserve"> 2. 公共安全（类）公安（款）其他公安支出（项）2024年预算数为3273.38万元，主要用于：行政执法单位办公经费</w:t>
      </w:r>
      <w:r>
        <w:rPr>
          <w:rFonts w:hint="eastAsia" w:ascii="仿宋_GB2312" w:hAnsi="Times New Roman" w:eastAsia="仿宋_GB2312" w:cs="仿宋_GB2312"/>
          <w:color w:val="000000"/>
          <w:kern w:val="0"/>
          <w:sz w:val="32"/>
          <w:szCs w:val="32"/>
        </w:rPr>
        <w:t>，包括</w:t>
      </w:r>
      <w:r>
        <w:rPr>
          <w:rFonts w:hint="eastAsia" w:ascii="仿宋_GB2312" w:eastAsia="仿宋_GB2312"/>
          <w:sz w:val="32"/>
          <w:szCs w:val="32"/>
        </w:rPr>
        <w:t>会议费、培训费、水电费、邮电费、物业管理费、差旅费、维修（护）费、公务接待费、公务用车运行维护费等以及事故车辆检测、车辆号牌、违法处置、驾驶证、登记证成本等项目支出。</w:t>
      </w:r>
    </w:p>
    <w:p>
      <w:pPr>
        <w:shd w:val="clear"/>
        <w:ind w:firstLine="640" w:firstLineChars="200"/>
        <w:rPr>
          <w:rFonts w:ascii="仿宋_GB2312" w:eastAsia="仿宋_GB2312"/>
          <w:sz w:val="32"/>
          <w:szCs w:val="32"/>
        </w:rPr>
      </w:pPr>
      <w:r>
        <w:rPr>
          <w:rFonts w:hint="eastAsia" w:ascii="仿宋_GB2312" w:eastAsia="仿宋_GB2312"/>
          <w:sz w:val="32"/>
          <w:szCs w:val="32"/>
        </w:rPr>
        <w:t>3. 社会保障和就业（类）行政事业单位养老支出（款）机关事业单位基本养老保险缴费支出（项）2024年预算数为447.44万元，主要用于：</w:t>
      </w:r>
      <w:r>
        <w:rPr>
          <w:rFonts w:hint="eastAsia" w:ascii="仿宋_GB2312" w:hAnsi="仿宋_GB2312" w:eastAsia="仿宋_GB2312" w:cs="仿宋_GB2312"/>
          <w:sz w:val="32"/>
          <w:szCs w:val="32"/>
        </w:rPr>
        <w:t>实施养老保险制度由单位缴纳的基本养老保险支出</w:t>
      </w:r>
      <w:r>
        <w:rPr>
          <w:rFonts w:hint="eastAsia" w:ascii="仿宋_GB2312" w:eastAsia="仿宋_GB2312"/>
          <w:sz w:val="32"/>
          <w:szCs w:val="32"/>
        </w:rPr>
        <w:t>。</w:t>
      </w:r>
    </w:p>
    <w:p>
      <w:pPr>
        <w:shd w:val="clear"/>
        <w:ind w:firstLine="640" w:firstLineChars="200"/>
        <w:rPr>
          <w:rFonts w:ascii="仿宋_GB2312" w:eastAsia="仿宋_GB2312"/>
          <w:sz w:val="32"/>
          <w:szCs w:val="32"/>
        </w:rPr>
      </w:pPr>
      <w:r>
        <w:rPr>
          <w:rFonts w:hint="eastAsia" w:ascii="仿宋_GB2312" w:eastAsia="仿宋_GB2312"/>
          <w:sz w:val="32"/>
          <w:szCs w:val="32"/>
        </w:rPr>
        <w:t>4. 社会保障和就业（类）其他社会保障和就业支出（款）其他社会保障和就业支出（项）2024年预算数为2.83万元，主要用于：</w:t>
      </w:r>
      <w:r>
        <w:rPr>
          <w:rFonts w:hint="eastAsia" w:ascii="仿宋_GB2312" w:hAnsi="仿宋_GB2312" w:eastAsia="仿宋_GB2312" w:cs="仿宋_GB2312"/>
          <w:sz w:val="32"/>
          <w:szCs w:val="32"/>
        </w:rPr>
        <w:t>按规定由单位缴纳的工伤保险支出</w:t>
      </w:r>
      <w:r>
        <w:rPr>
          <w:rFonts w:hint="eastAsia" w:ascii="仿宋_GB2312" w:eastAsia="仿宋_GB2312"/>
          <w:sz w:val="32"/>
          <w:szCs w:val="32"/>
        </w:rPr>
        <w:t>。</w:t>
      </w:r>
    </w:p>
    <w:p>
      <w:pPr>
        <w:shd w:val="clear"/>
        <w:ind w:firstLine="640" w:firstLineChars="200"/>
        <w:rPr>
          <w:rFonts w:ascii="仿宋_GB2312" w:eastAsia="仿宋_GB2312"/>
          <w:color w:val="FF0000"/>
          <w:sz w:val="32"/>
          <w:szCs w:val="32"/>
        </w:rPr>
      </w:pPr>
      <w:r>
        <w:rPr>
          <w:rFonts w:hint="eastAsia" w:ascii="仿宋_GB2312" w:eastAsia="仿宋_GB2312"/>
          <w:sz w:val="32"/>
          <w:szCs w:val="32"/>
        </w:rPr>
        <w:t>5. 卫生健康（类）行政事业单位医疗（款）行政单位医疗（项）2024年预算数为170.72万元，主要用于：</w:t>
      </w:r>
      <w:r>
        <w:rPr>
          <w:rFonts w:hint="eastAsia" w:ascii="仿宋_GB2312" w:hAnsi="仿宋_GB2312" w:eastAsia="仿宋_GB2312" w:cs="仿宋_GB2312"/>
          <w:sz w:val="32"/>
          <w:szCs w:val="32"/>
        </w:rPr>
        <w:t>机关及参公管理事业单位按规定由单位缴纳的基本医疗保险支出</w:t>
      </w:r>
      <w:r>
        <w:rPr>
          <w:rFonts w:hint="eastAsia" w:ascii="仿宋_GB2312" w:eastAsia="仿宋_GB2312"/>
          <w:sz w:val="32"/>
          <w:szCs w:val="32"/>
        </w:rPr>
        <w:t>。</w:t>
      </w:r>
    </w:p>
    <w:p>
      <w:pPr>
        <w:shd w:val="clear"/>
        <w:ind w:firstLine="640" w:firstLineChars="200"/>
        <w:rPr>
          <w:rFonts w:ascii="仿宋_GB2312" w:hAnsi="仿宋_GB2312" w:eastAsia="仿宋_GB2312" w:cs="仿宋_GB2312"/>
          <w:b/>
          <w:bCs/>
          <w:sz w:val="32"/>
          <w:szCs w:val="32"/>
        </w:rPr>
      </w:pPr>
      <w:r>
        <w:rPr>
          <w:rFonts w:hint="eastAsia" w:ascii="仿宋_GB2312" w:eastAsia="仿宋_GB2312"/>
          <w:sz w:val="32"/>
          <w:szCs w:val="32"/>
        </w:rPr>
        <w:t>6. 住房保障（类）住房改革支出（款）住房公积金（项）2024年预算数为398.73万元，主要用于：部门按规定为职工缴的住房公积金支出。</w:t>
      </w:r>
    </w:p>
    <w:p>
      <w:pPr>
        <w:shd w:val="clear"/>
        <w:spacing w:line="576" w:lineRule="exact"/>
        <w:ind w:firstLine="640" w:firstLineChars="200"/>
        <w:outlineLvl w:val="0"/>
        <w:rPr>
          <w:rFonts w:ascii="黑体" w:hAnsi="黑体" w:eastAsia="黑体" w:cs="黑体"/>
          <w:sz w:val="32"/>
          <w:szCs w:val="32"/>
        </w:rPr>
      </w:pPr>
      <w:bookmarkStart w:id="13" w:name="_Toc9848"/>
      <w:r>
        <w:rPr>
          <w:rFonts w:hint="eastAsia" w:ascii="黑体" w:hAnsi="黑体" w:eastAsia="黑体" w:cs="黑体"/>
          <w:sz w:val="32"/>
          <w:szCs w:val="32"/>
        </w:rPr>
        <w:t>六、一般公共预算基本支出情况说明</w:t>
      </w:r>
      <w:bookmarkEnd w:id="13"/>
    </w:p>
    <w:p>
      <w:pPr>
        <w:shd w:val="clear"/>
        <w:ind w:firstLine="640" w:firstLineChars="200"/>
        <w:rPr>
          <w:rFonts w:ascii="仿宋_GB2312" w:eastAsia="仿宋_GB2312"/>
          <w:sz w:val="32"/>
          <w:szCs w:val="32"/>
        </w:rPr>
      </w:pPr>
      <w:r>
        <w:rPr>
          <w:rFonts w:hint="eastAsia" w:ascii="仿宋_GB2312" w:eastAsia="仿宋_GB2312"/>
          <w:sz w:val="32"/>
          <w:szCs w:val="32"/>
        </w:rPr>
        <w:t>广元市公安局交通警察支队2024年一般公共预算基本支出5066.73万元，其中：</w:t>
      </w:r>
    </w:p>
    <w:p>
      <w:pPr>
        <w:shd w:val="clear"/>
        <w:ind w:firstLine="640" w:firstLineChars="200"/>
        <w:rPr>
          <w:rFonts w:ascii="仿宋_GB2312" w:eastAsia="仿宋_GB2312"/>
          <w:sz w:val="32"/>
          <w:szCs w:val="32"/>
        </w:rPr>
      </w:pPr>
      <w:r>
        <w:rPr>
          <w:rFonts w:hint="eastAsia" w:ascii="仿宋_GB2312" w:eastAsia="仿宋_GB2312"/>
          <w:sz w:val="32"/>
          <w:szCs w:val="32"/>
        </w:rPr>
        <w:t>人员经费4461.43万元，主要包括：基本工资、津贴补贴、奖金、机关事业单位基本养老保险缴费、职工基本医疗保险缴费、其他社会保障缴费、住房公积金、生活补助等支出。</w:t>
      </w:r>
    </w:p>
    <w:p>
      <w:pPr>
        <w:shd w:val="clear"/>
        <w:ind w:firstLine="640" w:firstLineChars="200"/>
        <w:rPr>
          <w:rFonts w:ascii="仿宋_GB2312" w:eastAsia="仿宋_GB2312"/>
          <w:sz w:val="32"/>
          <w:szCs w:val="32"/>
        </w:rPr>
      </w:pPr>
      <w:r>
        <w:rPr>
          <w:rFonts w:hint="eastAsia" w:ascii="仿宋_GB2312" w:eastAsia="仿宋_GB2312"/>
          <w:sz w:val="32"/>
          <w:szCs w:val="32"/>
        </w:rPr>
        <w:t>公用经费605.31万元，主要包括：办公费、印刷费、水费、电费、邮电费、物业管理费、差旅费、维修（护）费、会议费、培训费、公务接待费、工会经费、福利费、公务用车运行维护费、其他交通费用、其他商品和服务支出等支出。</w:t>
      </w:r>
    </w:p>
    <w:p>
      <w:pPr>
        <w:shd w:val="clear"/>
        <w:spacing w:line="576" w:lineRule="exact"/>
        <w:ind w:firstLine="640" w:firstLineChars="200"/>
        <w:outlineLvl w:val="0"/>
        <w:rPr>
          <w:rFonts w:ascii="黑体" w:hAnsi="黑体" w:eastAsia="黑体" w:cs="黑体"/>
          <w:sz w:val="32"/>
          <w:szCs w:val="32"/>
        </w:rPr>
      </w:pPr>
      <w:bookmarkStart w:id="14" w:name="_Toc14423"/>
      <w:r>
        <w:rPr>
          <w:rFonts w:hint="eastAsia" w:ascii="黑体" w:hAnsi="黑体" w:eastAsia="黑体" w:cs="黑体"/>
          <w:sz w:val="32"/>
          <w:szCs w:val="32"/>
        </w:rPr>
        <w:t>七、“三公”经费财政拨款预算安排情况说明</w:t>
      </w:r>
      <w:bookmarkEnd w:id="14"/>
    </w:p>
    <w:p>
      <w:pPr>
        <w:shd w:val="clear"/>
        <w:ind w:firstLine="640" w:firstLineChars="200"/>
        <w:rPr>
          <w:rFonts w:ascii="仿宋_GB2312" w:eastAsia="仿宋_GB2312"/>
          <w:sz w:val="32"/>
          <w:szCs w:val="32"/>
        </w:rPr>
      </w:pPr>
      <w:r>
        <w:rPr>
          <w:rFonts w:hint="eastAsia" w:ascii="仿宋_GB2312" w:eastAsia="仿宋_GB2312"/>
          <w:sz w:val="32"/>
          <w:szCs w:val="32"/>
        </w:rPr>
        <w:t>广元市公安局交通警察支队2024年“三公”经费财政拨款预算数172.58万元，其中：公务接待费4万元，公务用车购置及运行维护费</w:t>
      </w:r>
      <w:r>
        <w:rPr>
          <w:rFonts w:ascii="仿宋_GB2312" w:eastAsia="仿宋_GB2312"/>
          <w:sz w:val="32"/>
          <w:szCs w:val="32"/>
        </w:rPr>
        <w:t>168.58</w:t>
      </w:r>
      <w:r>
        <w:rPr>
          <w:rFonts w:hint="eastAsia" w:ascii="仿宋_GB2312" w:eastAsia="仿宋_GB2312"/>
          <w:sz w:val="32"/>
          <w:szCs w:val="32"/>
        </w:rPr>
        <w:t>万元，因公出国（境）经费0万元。</w:t>
      </w:r>
    </w:p>
    <w:p>
      <w:pPr>
        <w:numPr>
          <w:ilvl w:val="0"/>
          <w:numId w:val="2"/>
        </w:numPr>
        <w:shd w:val="clear"/>
        <w:ind w:firstLine="640" w:firstLineChars="200"/>
        <w:outlineLvl w:val="1"/>
        <w:rPr>
          <w:rFonts w:ascii="楷体_GB2312" w:eastAsia="楷体_GB2312"/>
          <w:sz w:val="32"/>
          <w:szCs w:val="32"/>
        </w:rPr>
      </w:pPr>
      <w:bookmarkStart w:id="15" w:name="_Toc14565"/>
      <w:r>
        <w:rPr>
          <w:rFonts w:hint="eastAsia" w:ascii="楷体_GB2312" w:eastAsia="楷体_GB2312"/>
          <w:sz w:val="32"/>
          <w:szCs w:val="32"/>
        </w:rPr>
        <w:t>公务接待费</w:t>
      </w:r>
      <w:bookmarkEnd w:id="15"/>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公务接待费与2023年预算相比持平。</w:t>
      </w:r>
    </w:p>
    <w:p>
      <w:pPr>
        <w:shd w:val="clear"/>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2024年公务接待费计划用于执行接待考察调研、检查指导等公务活动开支的交通费、住宿费、用餐费等。</w:t>
      </w:r>
    </w:p>
    <w:p>
      <w:pPr>
        <w:numPr>
          <w:ilvl w:val="0"/>
          <w:numId w:val="2"/>
        </w:numPr>
        <w:shd w:val="clear"/>
        <w:ind w:firstLine="640" w:firstLineChars="200"/>
        <w:outlineLvl w:val="1"/>
        <w:rPr>
          <w:rFonts w:ascii="楷体_GB2312" w:eastAsia="楷体_GB2312"/>
          <w:sz w:val="32"/>
          <w:szCs w:val="32"/>
        </w:rPr>
      </w:pPr>
      <w:bookmarkStart w:id="16" w:name="_Toc26225"/>
      <w:r>
        <w:rPr>
          <w:rFonts w:hint="eastAsia" w:ascii="楷体_GB2312" w:eastAsia="楷体_GB2312"/>
          <w:sz w:val="32"/>
          <w:szCs w:val="32"/>
        </w:rPr>
        <w:t>公务用车购置及运行维护费</w:t>
      </w:r>
      <w:bookmarkEnd w:id="16"/>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公务用车购置及运行维护费与2023年预算相比持平。</w:t>
      </w:r>
    </w:p>
    <w:p>
      <w:pPr>
        <w:shd w:val="clear"/>
        <w:spacing w:line="576" w:lineRule="exact"/>
        <w:ind w:firstLine="640" w:firstLineChars="200"/>
        <w:rPr>
          <w:rFonts w:hint="eastAsia" w:ascii="仿宋_GB2312" w:hAnsi="仿宋_GB2312" w:eastAsia="仿宋_GB2312" w:cs="仿宋_GB2312"/>
          <w:b/>
          <w:bCs/>
          <w:color w:val="FF0000"/>
          <w:sz w:val="32"/>
          <w:szCs w:val="32"/>
        </w:rPr>
      </w:pPr>
      <w:r>
        <w:rPr>
          <w:rFonts w:hint="eastAsia" w:ascii="仿宋_GB2312" w:hAnsi="仿宋_GB2312" w:eastAsia="仿宋_GB2312" w:cs="仿宋_GB2312"/>
          <w:sz w:val="32"/>
          <w:szCs w:val="32"/>
        </w:rPr>
        <w:t>单位现有公务用车57辆，其中：轿车50辆，旅行车（含商务车）3辆，越野车4辆。</w:t>
      </w: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2024年未安排公务用车购置费。</w:t>
      </w:r>
    </w:p>
    <w:p>
      <w:pPr>
        <w:shd w:val="clear"/>
        <w:spacing w:line="576" w:lineRule="exact"/>
        <w:ind w:firstLine="640" w:firstLineChars="200"/>
        <w:rPr>
          <w:rFonts w:ascii="仿宋_GB2312" w:hAnsi="仿宋_GB2312" w:eastAsia="仿宋_GB2312" w:cs="仿宋_GB2312"/>
          <w:b/>
          <w:bCs/>
          <w:color w:val="FF0000"/>
          <w:sz w:val="32"/>
          <w:szCs w:val="32"/>
        </w:rPr>
      </w:pPr>
      <w:r>
        <w:rPr>
          <w:rFonts w:hint="eastAsia" w:ascii="仿宋_GB2312" w:hAnsi="仿宋_GB2312" w:eastAsia="仿宋_GB2312" w:cs="仿宋_GB2312"/>
          <w:sz w:val="32"/>
          <w:szCs w:val="32"/>
        </w:rPr>
        <w:t>2024年安排公务用车运行维护费168.58万元，用于</w:t>
      </w:r>
      <w:r>
        <w:rPr>
          <w:rFonts w:hint="eastAsia" w:ascii="仿宋_GB2312" w:hAnsi="仿宋_GB2312" w:eastAsia="仿宋_GB2312" w:cs="仿宋_GB2312"/>
          <w:b/>
          <w:bCs/>
          <w:sz w:val="32"/>
          <w:szCs w:val="32"/>
        </w:rPr>
        <w:t>57</w:t>
      </w:r>
      <w:r>
        <w:rPr>
          <w:rFonts w:hint="eastAsia" w:ascii="仿宋_GB2312" w:hAnsi="仿宋_GB2312" w:eastAsia="仿宋_GB2312" w:cs="仿宋_GB2312"/>
          <w:sz w:val="32"/>
          <w:szCs w:val="32"/>
        </w:rPr>
        <w:t>辆公务用车燃油、过路（桥）、维修、保险等方面支出，主要保障路面巡逻纠违保畅、道路交通事故处理、驾驶人员考试、警卫开道和因公出差等。</w:t>
      </w:r>
    </w:p>
    <w:p>
      <w:pPr>
        <w:numPr>
          <w:ilvl w:val="0"/>
          <w:numId w:val="2"/>
        </w:numPr>
        <w:shd w:val="clear"/>
        <w:spacing w:line="576" w:lineRule="exact"/>
        <w:ind w:firstLine="640" w:firstLineChars="200"/>
        <w:outlineLvl w:val="1"/>
        <w:rPr>
          <w:rFonts w:ascii="楷体_GB2312" w:hAnsi="楷体_GB2312" w:eastAsia="楷体_GB2312" w:cs="楷体_GB2312"/>
          <w:sz w:val="32"/>
          <w:szCs w:val="32"/>
        </w:rPr>
      </w:pPr>
      <w:bookmarkStart w:id="17" w:name="_Toc6939"/>
      <w:r>
        <w:rPr>
          <w:rFonts w:hint="eastAsia" w:ascii="楷体_GB2312" w:hAnsi="楷体_GB2312" w:eastAsia="楷体_GB2312" w:cs="楷体_GB2312"/>
          <w:sz w:val="32"/>
          <w:szCs w:val="32"/>
        </w:rPr>
        <w:t>因公出国（境）经费</w:t>
      </w:r>
      <w:bookmarkEnd w:id="17"/>
    </w:p>
    <w:p>
      <w:pPr>
        <w:widowControl/>
        <w:shd w:val="clear"/>
        <w:ind w:firstLine="640" w:firstLineChars="200"/>
        <w:jc w:val="left"/>
        <w:rPr>
          <w:rFonts w:ascii="仿宋_GB2312" w:hAnsi="仿宋_GB2312" w:eastAsia="仿宋_GB2312" w:cs="仿宋_GB2312"/>
          <w:sz w:val="32"/>
          <w:szCs w:val="32"/>
        </w:rPr>
      </w:pPr>
      <w:r>
        <w:rPr>
          <w:rFonts w:hint="eastAsia" w:ascii="仿宋_GB2312" w:eastAsia="仿宋_GB2312"/>
          <w:sz w:val="32"/>
          <w:szCs w:val="32"/>
        </w:rPr>
        <w:t>因公出国（境）经费</w:t>
      </w:r>
      <w:r>
        <w:rPr>
          <w:rFonts w:hint="eastAsia" w:ascii="仿宋_GB2312" w:hAnsi="仿宋_GB2312" w:eastAsia="仿宋_GB2312" w:cs="仿宋_GB2312"/>
          <w:sz w:val="32"/>
          <w:szCs w:val="32"/>
        </w:rPr>
        <w:t>与2023年预算相比持平。2024年部门预算未编列因公出国（境）经费，未安排出国（境）任务和计划。</w:t>
      </w:r>
    </w:p>
    <w:p>
      <w:pPr>
        <w:shd w:val="clear"/>
        <w:spacing w:line="576" w:lineRule="exact"/>
        <w:ind w:firstLine="640" w:firstLineChars="200"/>
        <w:outlineLvl w:val="0"/>
        <w:rPr>
          <w:rFonts w:ascii="黑体" w:hAnsi="黑体" w:eastAsia="黑体" w:cs="黑体"/>
          <w:sz w:val="32"/>
          <w:szCs w:val="32"/>
        </w:rPr>
      </w:pPr>
      <w:bookmarkStart w:id="18" w:name="_Toc9314"/>
      <w:r>
        <w:rPr>
          <w:rFonts w:hint="eastAsia" w:ascii="黑体" w:hAnsi="黑体" w:eastAsia="黑体" w:cs="黑体"/>
          <w:sz w:val="32"/>
          <w:szCs w:val="32"/>
        </w:rPr>
        <w:t>八、政府性基金预算支出情况说明</w:t>
      </w:r>
      <w:bookmarkEnd w:id="18"/>
    </w:p>
    <w:p>
      <w:pPr>
        <w:shd w:val="clear"/>
        <w:spacing w:line="576" w:lineRule="exact"/>
        <w:ind w:firstLine="640" w:firstLineChars="200"/>
        <w:rPr>
          <w:rFonts w:ascii="仿宋_GB2312" w:hAnsi="仿宋_GB2312" w:eastAsia="仿宋_GB2312" w:cs="仿宋_GB2312"/>
          <w:sz w:val="32"/>
          <w:szCs w:val="32"/>
        </w:rPr>
      </w:pPr>
      <w:r>
        <w:rPr>
          <w:rFonts w:hint="eastAsia" w:ascii="仿宋_GB2312" w:eastAsia="仿宋_GB2312"/>
          <w:sz w:val="32"/>
          <w:szCs w:val="32"/>
        </w:rPr>
        <w:t>广元市公安局交通警察支队</w:t>
      </w:r>
      <w:r>
        <w:rPr>
          <w:rFonts w:hint="eastAsia" w:ascii="仿宋_GB2312" w:hAnsi="仿宋_GB2312" w:eastAsia="仿宋_GB2312" w:cs="仿宋_GB2312"/>
          <w:sz w:val="32"/>
          <w:szCs w:val="32"/>
        </w:rPr>
        <w:t>2024年无政府性基金预算拨款安排的支出</w:t>
      </w:r>
      <w:r>
        <w:rPr>
          <w:rFonts w:hint="eastAsia" w:ascii="仿宋_GB2312" w:hAnsi="Times New Roman" w:eastAsia="仿宋_GB2312" w:cs="仿宋_GB2312"/>
          <w:color w:val="333333"/>
          <w:kern w:val="0"/>
          <w:sz w:val="32"/>
          <w:szCs w:val="32"/>
          <w:shd w:val="clear" w:color="auto" w:fill="FFFFFF"/>
        </w:rPr>
        <w:t>。</w:t>
      </w:r>
    </w:p>
    <w:p>
      <w:pPr>
        <w:shd w:val="clear"/>
        <w:spacing w:line="576" w:lineRule="exact"/>
        <w:ind w:firstLine="640" w:firstLineChars="200"/>
        <w:outlineLvl w:val="0"/>
        <w:rPr>
          <w:rFonts w:ascii="黑体" w:hAnsi="黑体" w:eastAsia="黑体" w:cs="黑体"/>
          <w:sz w:val="32"/>
          <w:szCs w:val="32"/>
        </w:rPr>
      </w:pPr>
      <w:bookmarkStart w:id="19" w:name="_Toc13609"/>
      <w:r>
        <w:rPr>
          <w:rFonts w:hint="eastAsia" w:ascii="黑体" w:hAnsi="黑体" w:eastAsia="黑体" w:cs="黑体"/>
          <w:sz w:val="32"/>
          <w:szCs w:val="32"/>
        </w:rPr>
        <w:t>九、国有资本经营预算支出情况说明</w:t>
      </w:r>
      <w:bookmarkEnd w:id="19"/>
    </w:p>
    <w:p>
      <w:pPr>
        <w:shd w:val="clear"/>
        <w:spacing w:line="576" w:lineRule="exact"/>
        <w:ind w:firstLine="640" w:firstLineChars="200"/>
        <w:rPr>
          <w:rFonts w:ascii="仿宋_GB2312" w:eastAsia="仿宋_GB2312"/>
          <w:sz w:val="32"/>
          <w:szCs w:val="32"/>
        </w:rPr>
      </w:pPr>
      <w:r>
        <w:rPr>
          <w:rFonts w:hint="eastAsia" w:ascii="仿宋_GB2312" w:eastAsia="仿宋_GB2312"/>
          <w:sz w:val="32"/>
          <w:szCs w:val="32"/>
        </w:rPr>
        <w:t>广元市公安局交通警察支队</w:t>
      </w:r>
      <w:r>
        <w:rPr>
          <w:rFonts w:hint="eastAsia" w:ascii="仿宋_GB2312" w:hAnsi="仿宋_GB2312" w:eastAsia="仿宋_GB2312" w:cs="仿宋_GB2312"/>
          <w:sz w:val="32"/>
          <w:szCs w:val="32"/>
        </w:rPr>
        <w:t>2024年无国有资本经营预算拨款安排的支出</w:t>
      </w:r>
      <w:r>
        <w:rPr>
          <w:rFonts w:hint="eastAsia" w:ascii="仿宋_GB2312" w:eastAsia="仿宋_GB2312"/>
          <w:sz w:val="32"/>
          <w:szCs w:val="32"/>
        </w:rPr>
        <w:t>。</w:t>
      </w:r>
    </w:p>
    <w:p>
      <w:pPr>
        <w:shd w:val="clear"/>
        <w:spacing w:line="576" w:lineRule="exact"/>
        <w:ind w:firstLine="640" w:firstLineChars="200"/>
        <w:outlineLvl w:val="0"/>
        <w:rPr>
          <w:rFonts w:ascii="黑体" w:hAnsi="黑体" w:eastAsia="黑体" w:cs="黑体"/>
          <w:sz w:val="32"/>
          <w:szCs w:val="32"/>
        </w:rPr>
      </w:pPr>
      <w:bookmarkStart w:id="20" w:name="_Toc21930"/>
      <w:r>
        <w:rPr>
          <w:rFonts w:hint="eastAsia" w:ascii="黑体" w:hAnsi="黑体" w:eastAsia="黑体" w:cs="黑体"/>
          <w:sz w:val="32"/>
          <w:szCs w:val="32"/>
        </w:rPr>
        <w:t>十、其他重要事项的情况说明</w:t>
      </w:r>
      <w:bookmarkEnd w:id="20"/>
    </w:p>
    <w:p>
      <w:pPr>
        <w:shd w:val="clear"/>
        <w:spacing w:line="576" w:lineRule="exact"/>
        <w:ind w:firstLine="640" w:firstLineChars="200"/>
        <w:outlineLvl w:val="1"/>
        <w:rPr>
          <w:rFonts w:ascii="楷体_GB2312" w:hAnsi="楷体_GB2312" w:eastAsia="楷体_GB2312" w:cs="楷体_GB2312"/>
          <w:sz w:val="32"/>
          <w:szCs w:val="32"/>
        </w:rPr>
      </w:pPr>
      <w:bookmarkStart w:id="21" w:name="_Toc12699"/>
      <w:r>
        <w:rPr>
          <w:rFonts w:hint="eastAsia" w:ascii="楷体_GB2312" w:hAnsi="楷体_GB2312" w:eastAsia="楷体_GB2312" w:cs="楷体_GB2312"/>
          <w:sz w:val="32"/>
          <w:szCs w:val="32"/>
        </w:rPr>
        <w:t>（一）机关运行经费</w:t>
      </w:r>
      <w:bookmarkEnd w:id="21"/>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2024年，</w:t>
      </w:r>
      <w:r>
        <w:rPr>
          <w:rFonts w:hint="eastAsia" w:ascii="仿宋_GB2312" w:eastAsia="仿宋_GB2312"/>
          <w:sz w:val="32"/>
          <w:szCs w:val="32"/>
        </w:rPr>
        <w:t>广元市公安局交通警察支队的机关运行经费财政拨款预算为605.31万元，比2023年预算减少11.61万元，下降1.88%。主要原因是</w:t>
      </w:r>
      <w:r>
        <w:rPr>
          <w:rFonts w:hint="eastAsia" w:ascii="仿宋_GB2312" w:hAnsi="仿宋_GB2312" w:eastAsia="仿宋_GB2312" w:cs="仿宋_GB2312"/>
          <w:sz w:val="32"/>
          <w:szCs w:val="32"/>
        </w:rPr>
        <w:t>退休人员增加，机关运行经费相应减少</w:t>
      </w:r>
      <w:r>
        <w:rPr>
          <w:rFonts w:hint="eastAsia" w:ascii="仿宋_GB2312" w:eastAsia="仿宋_GB2312"/>
          <w:color w:val="000000" w:themeColor="text1"/>
          <w:sz w:val="32"/>
          <w:szCs w:val="32"/>
          <w14:textFill>
            <w14:solidFill>
              <w14:schemeClr w14:val="tx1"/>
            </w14:solidFill>
          </w14:textFill>
        </w:rPr>
        <w:t>。</w:t>
      </w:r>
    </w:p>
    <w:p>
      <w:pPr>
        <w:shd w:val="clear"/>
        <w:spacing w:line="576" w:lineRule="exact"/>
        <w:ind w:firstLine="640" w:firstLineChars="200"/>
        <w:outlineLvl w:val="1"/>
        <w:rPr>
          <w:rFonts w:ascii="楷体_GB2312" w:hAnsi="楷体_GB2312" w:eastAsia="楷体_GB2312" w:cs="楷体_GB2312"/>
          <w:sz w:val="32"/>
          <w:szCs w:val="32"/>
        </w:rPr>
      </w:pPr>
      <w:bookmarkStart w:id="22" w:name="_Toc930"/>
      <w:r>
        <w:rPr>
          <w:rFonts w:hint="eastAsia" w:ascii="楷体_GB2312" w:hAnsi="楷体_GB2312" w:eastAsia="楷体_GB2312" w:cs="楷体_GB2312"/>
          <w:sz w:val="32"/>
          <w:szCs w:val="32"/>
        </w:rPr>
        <w:t>（二）政府采购情况</w:t>
      </w:r>
      <w:bookmarkEnd w:id="22"/>
    </w:p>
    <w:p>
      <w:pPr>
        <w:widowControl/>
        <w:pBdr>
          <w:bottom w:val="single" w:color="FFFFFF" w:sz="8" w:space="31"/>
        </w:pBdr>
        <w:shd w:val="clear" w:color="auto"/>
        <w:spacing w:line="560" w:lineRule="exact"/>
        <w:ind w:firstLine="668"/>
        <w:rPr>
          <w:rFonts w:ascii="仿宋_GB2312" w:eastAsia="仿宋_GB2312"/>
          <w:sz w:val="32"/>
          <w:szCs w:val="32"/>
        </w:rPr>
      </w:pPr>
      <w:r>
        <w:rPr>
          <w:rFonts w:hint="eastAsia" w:ascii="仿宋_GB2312" w:hAnsi="仿宋_GB2312" w:eastAsia="仿宋_GB2312" w:cs="仿宋_GB2312"/>
          <w:sz w:val="32"/>
          <w:szCs w:val="32"/>
        </w:rPr>
        <w:t>2024年，</w:t>
      </w:r>
      <w:r>
        <w:rPr>
          <w:rFonts w:hint="eastAsia" w:ascii="仿宋_GB2312" w:eastAsia="仿宋_GB2312"/>
          <w:sz w:val="32"/>
          <w:szCs w:val="32"/>
        </w:rPr>
        <w:t>广元市公安局交通警察支队安排政府采购预算80.55万元，</w:t>
      </w:r>
      <w:r>
        <w:rPr>
          <w:rFonts w:hint="eastAsia" w:ascii="仿宋_GB2312" w:hAnsi="仿宋_GB2312" w:eastAsia="仿宋_GB2312" w:cs="仿宋_GB2312"/>
          <w:sz w:val="32"/>
          <w:szCs w:val="32"/>
        </w:rPr>
        <w:t>其中：政府采购货物预算10万元、政府采购服务预算70.55万元。</w:t>
      </w:r>
    </w:p>
    <w:p>
      <w:pPr>
        <w:widowControl/>
        <w:pBdr>
          <w:bottom w:val="single" w:color="FFFFFF" w:sz="8" w:space="31"/>
        </w:pBdr>
        <w:shd w:val="clear" w:color="auto"/>
        <w:spacing w:line="560" w:lineRule="exact"/>
        <w:ind w:firstLine="640" w:firstLineChars="200"/>
        <w:outlineLvl w:val="1"/>
        <w:rPr>
          <w:rFonts w:ascii="仿宋_GB2312" w:hAnsi="仿宋_GB2312" w:eastAsia="仿宋_GB2312"/>
          <w:color w:val="333333"/>
          <w:sz w:val="32"/>
          <w:szCs w:val="32"/>
        </w:rPr>
      </w:pPr>
      <w:bookmarkStart w:id="23" w:name="_Toc16748"/>
      <w:r>
        <w:rPr>
          <w:rFonts w:hint="eastAsia" w:ascii="楷体_GB2312" w:hAnsi="楷体_GB2312" w:eastAsia="楷体_GB2312" w:cs="楷体_GB2312"/>
          <w:sz w:val="32"/>
          <w:szCs w:val="32"/>
        </w:rPr>
        <w:t>（三）国有资产占有使用情况</w:t>
      </w:r>
      <w:bookmarkEnd w:id="23"/>
    </w:p>
    <w:p>
      <w:pPr>
        <w:widowControl/>
        <w:pBdr>
          <w:bottom w:val="single" w:color="FFFFFF" w:sz="8" w:space="31"/>
        </w:pBdr>
        <w:shd w:val="clear" w:color="auto"/>
        <w:spacing w:line="560" w:lineRule="exact"/>
        <w:ind w:firstLine="640" w:firstLineChars="200"/>
        <w:rPr>
          <w:rFonts w:ascii="仿宋_GB2312" w:hAnsi="仿宋_GB2312" w:eastAsia="仿宋_GB2312" w:cs="仿宋_GB2312"/>
          <w:sz w:val="32"/>
          <w:szCs w:val="32"/>
        </w:rPr>
      </w:pPr>
      <w:r>
        <w:rPr>
          <w:rFonts w:hint="eastAsia" w:ascii="仿宋_GB2312" w:hAnsi="仿宋_GB2312" w:eastAsia="仿宋_GB2312"/>
          <w:color w:val="333333"/>
          <w:sz w:val="32"/>
          <w:szCs w:val="32"/>
        </w:rPr>
        <w:t>截至2023年底，</w:t>
      </w:r>
      <w:r>
        <w:rPr>
          <w:rFonts w:hint="eastAsia" w:ascii="仿宋_GB2312" w:eastAsia="仿宋_GB2312"/>
          <w:sz w:val="32"/>
          <w:szCs w:val="32"/>
        </w:rPr>
        <w:t>广元市公安局交通警察支队</w:t>
      </w:r>
      <w:r>
        <w:rPr>
          <w:rFonts w:hint="eastAsia" w:ascii="仿宋_GB2312" w:hAnsi="仿宋_GB2312" w:eastAsia="仿宋_GB2312"/>
          <w:color w:val="333333"/>
          <w:sz w:val="32"/>
          <w:szCs w:val="32"/>
        </w:rPr>
        <w:t>共有车辆57辆，其中</w:t>
      </w:r>
      <w:r>
        <w:rPr>
          <w:rFonts w:hint="eastAsia" w:ascii="仿宋_GB2312" w:hAnsi="仿宋_GB2312" w:eastAsia="仿宋_GB2312"/>
          <w:color w:val="333333"/>
          <w:sz w:val="32"/>
          <w:szCs w:val="32"/>
          <w:lang w:eastAsia="zh-CN"/>
        </w:rPr>
        <w:t>，</w:t>
      </w:r>
      <w:r>
        <w:rPr>
          <w:rFonts w:hint="eastAsia" w:ascii="仿宋_GB2312" w:hAnsi="仿宋_GB2312" w:eastAsia="仿宋_GB2312"/>
          <w:color w:val="333333"/>
          <w:sz w:val="32"/>
          <w:szCs w:val="32"/>
        </w:rPr>
        <w:t>特种专业技术用车9辆、执法执勤用车47辆，其他用车1辆。</w:t>
      </w:r>
      <w:r>
        <w:rPr>
          <w:rFonts w:hint="eastAsia" w:ascii="仿宋_GB2312" w:hAnsi="仿宋_GB2312" w:eastAsia="仿宋_GB2312" w:cs="仿宋_GB2312"/>
          <w:sz w:val="32"/>
          <w:szCs w:val="32"/>
        </w:rPr>
        <w:t>单位价值200万元以上大型设备0台（套）。</w:t>
      </w:r>
    </w:p>
    <w:p>
      <w:pPr>
        <w:widowControl/>
        <w:pBdr>
          <w:bottom w:val="single" w:color="FFFFFF" w:sz="8" w:space="31"/>
        </w:pBdr>
        <w:shd w:val="clear" w:color="auto"/>
        <w:spacing w:line="560" w:lineRule="exact"/>
        <w:ind w:firstLine="640" w:firstLineChars="200"/>
        <w:rPr>
          <w:rFonts w:ascii="仿宋_GB2312" w:hAnsi="仿宋_GB2312" w:eastAsia="仿宋_GB2312" w:cs="仿宋_GB2312"/>
          <w:color w:val="FF0000"/>
          <w:sz w:val="32"/>
          <w:szCs w:val="32"/>
        </w:rPr>
      </w:pPr>
      <w:r>
        <w:rPr>
          <w:rFonts w:hint="eastAsia" w:ascii="仿宋_GB2312" w:hAnsi="仿宋_GB2312" w:eastAsia="仿宋_GB2312" w:cs="仿宋_GB2312"/>
          <w:sz w:val="32"/>
          <w:szCs w:val="32"/>
        </w:rPr>
        <w:t>2024年部门预算未安排购置车辆及单位价值200万元以上大型设备。</w:t>
      </w:r>
    </w:p>
    <w:p>
      <w:pPr>
        <w:widowControl/>
        <w:pBdr>
          <w:bottom w:val="single" w:color="FFFFFF" w:sz="8" w:space="31"/>
        </w:pBdr>
        <w:shd w:val="clear" w:color="auto"/>
        <w:spacing w:line="560" w:lineRule="exact"/>
        <w:ind w:firstLine="640" w:firstLineChars="200"/>
        <w:outlineLvl w:val="1"/>
        <w:rPr>
          <w:rFonts w:ascii="楷体_GB2312" w:hAnsi="楷体_GB2312" w:eastAsia="楷体_GB2312" w:cs="楷体_GB2312"/>
          <w:sz w:val="32"/>
          <w:szCs w:val="32"/>
        </w:rPr>
      </w:pPr>
      <w:bookmarkStart w:id="24" w:name="_Toc31773"/>
      <w:r>
        <w:rPr>
          <w:rFonts w:hint="eastAsia" w:ascii="楷体_GB2312" w:hAnsi="楷体_GB2312" w:eastAsia="楷体_GB2312" w:cs="楷体_GB2312"/>
          <w:sz w:val="32"/>
          <w:szCs w:val="32"/>
        </w:rPr>
        <w:t>（四）绩效目标设置情况</w:t>
      </w:r>
      <w:bookmarkEnd w:id="24"/>
    </w:p>
    <w:p>
      <w:pPr>
        <w:widowControl/>
        <w:pBdr>
          <w:bottom w:val="single" w:color="FFFFFF" w:sz="8" w:space="31"/>
        </w:pBdr>
        <w:shd w:val="clear" w:color="auto"/>
        <w:spacing w:line="560" w:lineRule="exact"/>
        <w:ind w:firstLine="640" w:firstLineChars="200"/>
        <w:rPr>
          <w:rFonts w:ascii="仿宋_GB2312" w:eastAsia="仿宋_GB2312"/>
          <w:sz w:val="32"/>
          <w:szCs w:val="32"/>
        </w:rPr>
      </w:pPr>
      <w:r>
        <w:rPr>
          <w:rFonts w:hint="eastAsia" w:ascii="仿宋_GB2312" w:hAnsi="仿宋_GB2312" w:eastAsia="仿宋_GB2312" w:cs="仿宋_GB2312"/>
          <w:sz w:val="32"/>
          <w:szCs w:val="32"/>
        </w:rPr>
        <w:t>2024年</w:t>
      </w:r>
      <w:r>
        <w:rPr>
          <w:rFonts w:hint="eastAsia" w:ascii="仿宋_GB2312" w:eastAsia="仿宋_GB2312"/>
          <w:sz w:val="32"/>
          <w:szCs w:val="32"/>
        </w:rPr>
        <w:t>广元市公安局交通警察支队</w:t>
      </w:r>
      <w:r>
        <w:rPr>
          <w:rFonts w:hint="eastAsia" w:ascii="仿宋_GB2312" w:hAnsi="仿宋_GB2312" w:eastAsia="仿宋_GB2312" w:cs="仿宋_GB2312"/>
          <w:sz w:val="32"/>
          <w:szCs w:val="32"/>
        </w:rPr>
        <w:t>开展绩效目标管理的项目20个，涉及预算7799.80万元。其中：人员类项目7个，涉及预算4461.43万元；运转类项目3个，涉及预算605.30万元；特定目标类项目10个，涉及预算2733.07万元</w:t>
      </w:r>
      <w:r>
        <w:rPr>
          <w:rFonts w:hint="eastAsia" w:ascii="仿宋_GB2312" w:eastAsia="仿宋_GB2312"/>
          <w:sz w:val="32"/>
          <w:szCs w:val="32"/>
        </w:rPr>
        <w:t>。</w:t>
      </w:r>
    </w:p>
    <w:p>
      <w:pPr>
        <w:widowControl/>
        <w:numPr>
          <w:ilvl w:val="0"/>
          <w:numId w:val="3"/>
        </w:numPr>
        <w:pBdr>
          <w:bottom w:val="single" w:color="FFFFFF" w:sz="8" w:space="31"/>
        </w:pBdr>
        <w:shd w:val="clear" w:color="auto"/>
        <w:spacing w:line="560" w:lineRule="exact"/>
        <w:ind w:firstLine="640" w:firstLineChars="200"/>
        <w:outlineLvl w:val="0"/>
        <w:rPr>
          <w:rFonts w:ascii="仿宋_GB2312" w:hAnsi="仿宋_GB2312" w:eastAsia="仿宋_GB2312" w:cs="仿宋_GB2312"/>
          <w:sz w:val="32"/>
          <w:szCs w:val="32"/>
        </w:rPr>
      </w:pPr>
      <w:bookmarkStart w:id="25" w:name="_Toc205"/>
      <w:r>
        <w:rPr>
          <w:rFonts w:hint="eastAsia" w:ascii="黑体" w:hAnsi="黑体" w:eastAsia="黑体" w:cs="黑体"/>
          <w:sz w:val="32"/>
          <w:szCs w:val="32"/>
        </w:rPr>
        <w:t>名词解释</w:t>
      </w:r>
      <w:bookmarkEnd w:id="25"/>
    </w:p>
    <w:p>
      <w:pPr>
        <w:widowControl/>
        <w:numPr>
          <w:ilvl w:val="0"/>
          <w:numId w:val="4"/>
        </w:numPr>
        <w:pBdr>
          <w:bottom w:val="single" w:color="FFFFFF" w:sz="8" w:space="31"/>
        </w:pBdr>
        <w:shd w:val="clear" w:color="auto"/>
        <w:spacing w:line="56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财政拨款收入</w:t>
      </w:r>
      <w:r>
        <w:rPr>
          <w:rFonts w:hint="eastAsia" w:ascii="楷体_GB2312" w:hAnsi="楷体_GB2312" w:eastAsia="楷体_GB2312" w:cs="楷体_GB2312"/>
          <w:sz w:val="32"/>
          <w:szCs w:val="32"/>
          <w:lang w:eastAsia="zh-CN"/>
        </w:rPr>
        <w:t>：</w:t>
      </w:r>
      <w:r>
        <w:rPr>
          <w:rFonts w:hint="eastAsia" w:ascii="仿宋_GB2312" w:hAnsi="仿宋_GB2312" w:eastAsia="仿宋_GB2312" w:cs="仿宋_GB2312"/>
          <w:sz w:val="32"/>
          <w:szCs w:val="32"/>
        </w:rPr>
        <w:t>指市财政当年安排的财政预算收入。按现行管理制度</w:t>
      </w:r>
      <w:r>
        <w:rPr>
          <w:rFonts w:hint="eastAsia" w:ascii="仿宋_GB2312" w:hAnsi="仿宋_GB2312" w:eastAsia="仿宋_GB2312" w:cs="仿宋_GB2312"/>
          <w:sz w:val="32"/>
          <w:szCs w:val="32"/>
          <w:lang w:eastAsia="zh-CN"/>
        </w:rPr>
        <w:t>，</w:t>
      </w:r>
      <w:r>
        <w:rPr>
          <w:rFonts w:hint="eastAsia" w:ascii="仿宋_GB2312" w:hAnsi="仿宋_GB2312" w:eastAsia="仿宋_GB2312" w:cs="仿宋_GB2312"/>
          <w:sz w:val="32"/>
          <w:szCs w:val="32"/>
        </w:rPr>
        <w:t>部门预算中反映的财政拨款包括一般公共预算拨款和政府性基金预算拨款。</w:t>
      </w:r>
    </w:p>
    <w:p>
      <w:pPr>
        <w:widowControl/>
        <w:numPr>
          <w:ilvl w:val="0"/>
          <w:numId w:val="4"/>
        </w:numPr>
        <w:pBdr>
          <w:bottom w:val="single" w:color="FFFFFF" w:sz="8" w:space="31"/>
        </w:pBdr>
        <w:shd w:val="clear" w:color="auto"/>
        <w:spacing w:line="560" w:lineRule="exact"/>
        <w:ind w:firstLine="640" w:firstLineChars="200"/>
        <w:rPr>
          <w:rFonts w:ascii="仿宋_GB2312" w:hAnsi="仿宋_GB2312" w:eastAsia="仿宋_GB2312" w:cs="仿宋_GB2312"/>
          <w:sz w:val="32"/>
          <w:szCs w:val="32"/>
        </w:rPr>
      </w:pPr>
      <w:r>
        <w:rPr>
          <w:rFonts w:hint="eastAsia" w:ascii="楷体_GB2312" w:hAnsi="楷体_GB2312" w:eastAsia="楷体_GB2312" w:cs="楷体_GB2312"/>
          <w:sz w:val="32"/>
          <w:szCs w:val="32"/>
        </w:rPr>
        <w:t>其他收入：</w:t>
      </w:r>
      <w:r>
        <w:rPr>
          <w:rFonts w:hint="eastAsia" w:ascii="仿宋_GB2312" w:hAnsi="仿宋_GB2312" w:eastAsia="仿宋_GB2312" w:cs="仿宋_GB2312"/>
          <w:sz w:val="32"/>
          <w:szCs w:val="32"/>
        </w:rPr>
        <w:t>指除上述“一般公共预算拨款收入” “事业收入”等以外的收入。如</w:t>
      </w:r>
      <w:r>
        <w:rPr>
          <w:rFonts w:hint="eastAsia" w:ascii="仿宋_GB2312" w:eastAsia="仿宋_GB2312"/>
          <w:sz w:val="32"/>
          <w:szCs w:val="32"/>
        </w:rPr>
        <w:t>开发区拨付的协警员经费收入</w:t>
      </w:r>
      <w:r>
        <w:rPr>
          <w:rFonts w:hint="eastAsia" w:ascii="仿宋_GB2312" w:hAnsi="仿宋_GB2312" w:eastAsia="仿宋_GB2312" w:cs="仿宋_GB2312"/>
          <w:sz w:val="32"/>
          <w:szCs w:val="32"/>
        </w:rPr>
        <w:t>等。</w:t>
      </w:r>
    </w:p>
    <w:p>
      <w:pPr>
        <w:widowControl/>
        <w:pBdr>
          <w:bottom w:val="single" w:color="FFFFFF" w:sz="8" w:space="31"/>
        </w:pBdr>
        <w:shd w:val="clear" w:color="auto"/>
        <w:spacing w:line="560" w:lineRule="exact"/>
        <w:ind w:firstLine="640" w:firstLineChars="200"/>
      </w:pPr>
      <w:r>
        <w:rPr>
          <w:rFonts w:hint="eastAsia" w:ascii="仿宋_GB2312" w:eastAsia="仿宋_GB2312"/>
          <w:sz w:val="32"/>
          <w:szCs w:val="32"/>
        </w:rPr>
        <w:t>（三）公共安全（类）公安（款）行政运行（项）：</w:t>
      </w:r>
      <w:r>
        <w:rPr>
          <w:rFonts w:ascii="仿宋_GB2312" w:hAnsi="宋体" w:eastAsia="仿宋_GB2312" w:cs="仿宋_GB2312"/>
          <w:color w:val="000000"/>
          <w:kern w:val="0"/>
          <w:sz w:val="32"/>
          <w:szCs w:val="32"/>
          <w:shd w:val="clear" w:color="auto" w:fill="FFFFFF"/>
        </w:rPr>
        <w:t>反映行政单位（包括实行公务员管理的事业单位）的基本支出。</w:t>
      </w:r>
    </w:p>
    <w:p>
      <w:pPr>
        <w:widowControl/>
        <w:pBdr>
          <w:bottom w:val="single" w:color="FFFFFF" w:sz="8" w:space="31"/>
        </w:pBdr>
        <w:shd w:val="clear" w:color="auto"/>
        <w:spacing w:line="560" w:lineRule="exact"/>
        <w:ind w:firstLine="668"/>
        <w:outlineLvl w:val="1"/>
        <w:rPr>
          <w:rFonts w:ascii="仿宋_GB2312" w:eastAsia="仿宋_GB2312"/>
          <w:sz w:val="32"/>
          <w:szCs w:val="32"/>
        </w:rPr>
      </w:pPr>
      <w:bookmarkStart w:id="26" w:name="_Toc24999"/>
      <w:r>
        <w:rPr>
          <w:rFonts w:hint="eastAsia" w:ascii="仿宋_GB2312" w:eastAsia="仿宋_GB2312"/>
          <w:sz w:val="32"/>
          <w:szCs w:val="32"/>
        </w:rPr>
        <w:t>（四）公共安全（类）公安（款）其他公安支出（项）：</w:t>
      </w:r>
      <w:bookmarkEnd w:id="26"/>
    </w:p>
    <w:p>
      <w:pPr>
        <w:widowControl/>
        <w:pBdr>
          <w:bottom w:val="single" w:color="FFFFFF" w:sz="8" w:space="31"/>
        </w:pBdr>
        <w:shd w:val="clear" w:color="auto"/>
        <w:spacing w:line="560" w:lineRule="exact"/>
        <w:rPr>
          <w:rFonts w:ascii="仿宋_GB2312" w:eastAsia="仿宋_GB2312"/>
          <w:sz w:val="32"/>
          <w:szCs w:val="32"/>
        </w:rPr>
      </w:pPr>
      <w:r>
        <w:rPr>
          <w:rFonts w:hint="eastAsia" w:ascii="仿宋_GB2312" w:eastAsia="仿宋_GB2312"/>
          <w:sz w:val="32"/>
          <w:szCs w:val="32"/>
        </w:rPr>
        <w:t>指各级公安机关开展各类公安业务管理工作的支出。</w:t>
      </w:r>
    </w:p>
    <w:p>
      <w:pPr>
        <w:widowControl/>
        <w:pBdr>
          <w:bottom w:val="single" w:color="FFFFFF" w:sz="8" w:space="31"/>
        </w:pBdr>
        <w:shd w:val="clear" w:color="auto"/>
        <w:spacing w:line="560" w:lineRule="exact"/>
        <w:ind w:firstLine="640" w:firstLineChars="200"/>
        <w:rPr>
          <w:rFonts w:ascii="仿宋_GB2312" w:eastAsia="仿宋_GB2312"/>
          <w:sz w:val="32"/>
          <w:szCs w:val="32"/>
        </w:rPr>
      </w:pPr>
      <w:r>
        <w:rPr>
          <w:rFonts w:hint="eastAsia" w:ascii="仿宋_GB2312" w:eastAsia="仿宋_GB2312"/>
          <w:sz w:val="32"/>
          <w:szCs w:val="32"/>
        </w:rPr>
        <w:t>（五）社会保障和就业（类）行政事业单位养老支出（款）机关事业单位基本养老保险缴费支出（项）：指部门实施养老保险制度由单位缴纳的养老保险的支出。</w:t>
      </w:r>
    </w:p>
    <w:p>
      <w:pPr>
        <w:widowControl/>
        <w:pBdr>
          <w:bottom w:val="single" w:color="FFFFFF" w:sz="8" w:space="31"/>
        </w:pBdr>
        <w:shd w:val="clear" w:color="auto"/>
        <w:spacing w:line="560" w:lineRule="exact"/>
        <w:ind w:firstLine="640" w:firstLineChars="200"/>
        <w:rPr>
          <w:rFonts w:ascii="仿宋_GB2312" w:eastAsia="仿宋_GB2312"/>
          <w:sz w:val="32"/>
          <w:szCs w:val="32"/>
        </w:rPr>
      </w:pPr>
      <w:r>
        <w:rPr>
          <w:rFonts w:hint="eastAsia" w:ascii="仿宋_GB2312" w:eastAsia="仿宋_GB2312"/>
          <w:sz w:val="32"/>
          <w:szCs w:val="32"/>
        </w:rPr>
        <w:t>（六）社会保障和就业（类）其他社会保障和就业支出（款）其他社会保障和就业支出（项）：指</w:t>
      </w:r>
      <w:r>
        <w:rPr>
          <w:rFonts w:hint="eastAsia" w:ascii="仿宋_GB2312" w:hAnsi="仿宋_GB2312" w:eastAsia="仿宋_GB2312" w:cs="仿宋_GB2312"/>
          <w:sz w:val="32"/>
          <w:szCs w:val="32"/>
        </w:rPr>
        <w:t>按规定由单位缴纳的工伤保险支出</w:t>
      </w:r>
      <w:r>
        <w:rPr>
          <w:rFonts w:hint="eastAsia" w:ascii="仿宋_GB2312" w:eastAsia="仿宋_GB2312"/>
          <w:sz w:val="32"/>
          <w:szCs w:val="32"/>
        </w:rPr>
        <w:t>。</w:t>
      </w:r>
    </w:p>
    <w:p>
      <w:pPr>
        <w:widowControl/>
        <w:pBdr>
          <w:bottom w:val="single" w:color="FFFFFF" w:sz="8" w:space="31"/>
        </w:pBdr>
        <w:shd w:val="clear" w:color="auto"/>
        <w:spacing w:line="56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eastAsia="仿宋_GB2312"/>
          <w:sz w:val="32"/>
          <w:szCs w:val="32"/>
        </w:rPr>
        <w:t>（七）卫生健康（类）行政事业单位医疗（款）行政单位医疗（项）：</w:t>
      </w:r>
      <w:r>
        <w:rPr>
          <w:rFonts w:hint="eastAsia" w:ascii="仿宋_GB2312" w:hAnsi="Times New Roman" w:eastAsia="仿宋_GB2312" w:cs="仿宋_GB2312"/>
          <w:color w:val="333333"/>
          <w:kern w:val="0"/>
          <w:sz w:val="32"/>
          <w:szCs w:val="32"/>
          <w:shd w:val="clear" w:color="auto" w:fill="FFFFFF"/>
        </w:rPr>
        <w:t>指机关及参公管理事业单位用于单位应缴纳基本医疗保险支出。</w:t>
      </w:r>
    </w:p>
    <w:p>
      <w:pPr>
        <w:widowControl/>
        <w:pBdr>
          <w:bottom w:val="single" w:color="FFFFFF" w:sz="8" w:space="31"/>
        </w:pBdr>
        <w:shd w:val="clear" w:color="auto"/>
        <w:spacing w:line="56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eastAsia="仿宋_GB2312"/>
          <w:sz w:val="32"/>
          <w:szCs w:val="32"/>
        </w:rPr>
        <w:t>（八）住房保障（类）住房改革支出（款）住房公积金（项）：指按照《住房公积金管理条例》的规定，由单位及其在职职工缴存的长期住房储金。</w:t>
      </w:r>
    </w:p>
    <w:p>
      <w:pPr>
        <w:widowControl/>
        <w:pBdr>
          <w:bottom w:val="single" w:color="FFFFFF" w:sz="8" w:space="31"/>
        </w:pBdr>
        <w:shd w:val="clear" w:color="auto"/>
        <w:spacing w:line="560" w:lineRule="exact"/>
        <w:ind w:firstLine="640" w:firstLineChars="200"/>
        <w:rPr>
          <w:rFonts w:ascii="仿宋_GB2312" w:hAnsi="Times New Roman" w:eastAsia="仿宋_GB2312" w:cs="仿宋_GB2312"/>
          <w:color w:val="333333"/>
          <w:kern w:val="0"/>
          <w:sz w:val="32"/>
          <w:szCs w:val="32"/>
          <w:shd w:val="clear" w:color="auto" w:fill="FFFFFF"/>
        </w:rPr>
      </w:pPr>
      <w:r>
        <w:rPr>
          <w:rFonts w:hint="eastAsia" w:ascii="仿宋_GB2312" w:eastAsia="仿宋_GB2312"/>
          <w:sz w:val="32"/>
          <w:szCs w:val="32"/>
        </w:rPr>
        <w:t>（九）基本支出：指为保证机构正常运转，完成日常工作任务而发生的人员支出和公用支出。</w:t>
      </w:r>
    </w:p>
    <w:p>
      <w:pPr>
        <w:widowControl/>
        <w:pBdr>
          <w:bottom w:val="single" w:color="FFFFFF" w:sz="8" w:space="31"/>
        </w:pBdr>
        <w:shd w:val="clear" w:color="auto"/>
        <w:spacing w:line="56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eastAsia="仿宋_GB2312"/>
          <w:sz w:val="32"/>
          <w:szCs w:val="32"/>
        </w:rPr>
        <w:t>（十）项目支出：指在基本支出之外为完成特定行政任务和事业发展目标所发生的支出。</w:t>
      </w:r>
    </w:p>
    <w:p>
      <w:pPr>
        <w:widowControl/>
        <w:pBdr>
          <w:bottom w:val="single" w:color="FFFFFF" w:sz="8" w:space="31"/>
        </w:pBdr>
        <w:shd w:val="clear" w:color="auto"/>
        <w:spacing w:line="56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eastAsia="仿宋_GB2312"/>
          <w:sz w:val="32"/>
          <w:szCs w:val="32"/>
        </w:rPr>
        <w:t>（十一）“三公”经费：</w:t>
      </w:r>
      <w:r>
        <w:rPr>
          <w:rFonts w:hint="eastAsia" w:ascii="仿宋_GB2312" w:hAnsi="仿宋_GB2312" w:eastAsia="仿宋_GB2312" w:cs="仿宋_GB2312"/>
          <w:sz w:val="32"/>
          <w:szCs w:val="32"/>
        </w:rPr>
        <w:t>纳入市级财政预算管理的“三公”经费，是指部门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r>
        <w:rPr>
          <w:rFonts w:hint="eastAsia" w:ascii="仿宋_GB2312" w:eastAsia="仿宋_GB2312"/>
          <w:sz w:val="32"/>
          <w:szCs w:val="32"/>
        </w:rPr>
        <w:t>。</w:t>
      </w:r>
    </w:p>
    <w:p>
      <w:pPr>
        <w:widowControl/>
        <w:pBdr>
          <w:bottom w:val="single" w:color="FFFFFF" w:sz="8" w:space="31"/>
        </w:pBdr>
        <w:shd w:val="clear" w:color="auto"/>
        <w:spacing w:line="560" w:lineRule="exact"/>
        <w:ind w:firstLine="668"/>
        <w:rPr>
          <w:rFonts w:ascii="仿宋_GB2312" w:hAnsi="Times New Roman" w:eastAsia="仿宋_GB2312" w:cs="仿宋_GB2312"/>
          <w:color w:val="333333"/>
          <w:kern w:val="0"/>
          <w:sz w:val="32"/>
          <w:szCs w:val="32"/>
          <w:shd w:val="clear" w:color="auto" w:fill="FFFFFF"/>
        </w:rPr>
      </w:pPr>
      <w:r>
        <w:rPr>
          <w:rFonts w:hint="eastAsia" w:ascii="仿宋_GB2312" w:eastAsia="仿宋_GB2312"/>
          <w:sz w:val="32"/>
          <w:szCs w:val="32"/>
        </w:rPr>
        <w:t>（十二）机关运行经费：</w:t>
      </w:r>
      <w:r>
        <w:rPr>
          <w:rFonts w:hint="eastAsia" w:ascii="仿宋_GB2312" w:hAnsi="仿宋_GB2312" w:eastAsia="仿宋_GB2312" w:cs="仿宋_GB2312"/>
          <w:sz w:val="32"/>
          <w:szCs w:val="32"/>
        </w:rPr>
        <w:t>为保障行政单位（包括参照公务员法管理的事业单位）运行用于购买货物和服务的各项资金，包括办公及印刷费、邮电费、差旅费、会议费、培训费、福利费、日常维修费、专用材料及一般设备购置费、办公用房水电费、办公用房物业管理费、公务用车运行维护费以及其他费用</w:t>
      </w:r>
      <w:r>
        <w:rPr>
          <w:rFonts w:hint="eastAsia" w:ascii="仿宋_GB2312" w:eastAsia="仿宋_GB2312"/>
          <w:sz w:val="32"/>
          <w:szCs w:val="32"/>
        </w:rPr>
        <w:t>。</w:t>
      </w:r>
    </w:p>
    <w:p>
      <w:pPr>
        <w:shd w:val="clear"/>
        <w:spacing w:line="576" w:lineRule="exact"/>
        <w:ind w:firstLine="640" w:firstLineChars="200"/>
        <w:rPr>
          <w:rFonts w:ascii="仿宋_GB2312" w:hAnsi="仿宋_GB2312" w:eastAsia="仿宋_GB2312" w:cs="仿宋_GB2312"/>
          <w:sz w:val="32"/>
          <w:szCs w:val="32"/>
        </w:rPr>
      </w:pPr>
    </w:p>
    <w:p>
      <w:pPr>
        <w:shd w:val="clear"/>
        <w:spacing w:line="576" w:lineRule="exact"/>
        <w:ind w:firstLine="640" w:firstLineChars="200"/>
        <w:rPr>
          <w:rFonts w:ascii="仿宋_GB2312" w:hAnsi="仿宋_GB2312" w:eastAsia="仿宋_GB2312" w:cs="仿宋_GB2312"/>
          <w:sz w:val="32"/>
          <w:szCs w:val="32"/>
        </w:rPr>
      </w:pPr>
      <w:r>
        <w:rPr>
          <w:rFonts w:hint="eastAsia" w:ascii="仿宋_GB2312" w:hAnsi="仿宋_GB2312" w:eastAsia="仿宋_GB2312" w:cs="仿宋_GB2312"/>
          <w:sz w:val="32"/>
          <w:szCs w:val="32"/>
        </w:rPr>
        <w:t>附件：部门预算公开表</w:t>
      </w:r>
    </w:p>
    <w:p>
      <w:pPr>
        <w:shd w:val="clear"/>
        <w:spacing w:line="576" w:lineRule="exact"/>
        <w:rPr>
          <w:rFonts w:ascii="仿宋_GB2312" w:hAnsi="仿宋_GB2312" w:eastAsia="仿宋_GB2312" w:cs="仿宋_GB2312"/>
          <w:sz w:val="32"/>
          <w:szCs w:val="32"/>
        </w:rPr>
      </w:pPr>
    </w:p>
    <w:p>
      <w:pPr>
        <w:shd w:val="clear"/>
        <w:spacing w:line="576" w:lineRule="exact"/>
        <w:ind w:firstLine="643" w:firstLineChars="200"/>
        <w:rPr>
          <w:rFonts w:ascii="仿宋_GB2312" w:hAnsi="仿宋_GB2312" w:eastAsia="仿宋_GB2312" w:cs="仿宋_GB2312"/>
          <w:b/>
          <w:bCs/>
          <w:sz w:val="32"/>
          <w:szCs w:val="32"/>
        </w:rPr>
      </w:pPr>
    </w:p>
    <w:sectPr>
      <w:pgSz w:w="11906" w:h="16838"/>
      <w:pgMar w:top="2098" w:right="1474" w:bottom="1984" w:left="1587" w:header="720" w:footer="1559"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5B628B92-89B7-48EC-98CD-1B1E1FC8BC87}"/>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Liberation Sans">
    <w:altName w:val="Vijaya"/>
    <w:panose1 w:val="020B0604020202020204"/>
    <w:charset w:val="00"/>
    <w:family w:val="swiss"/>
    <w:pitch w:val="default"/>
    <w:sig w:usb0="00000000" w:usb1="00000000" w:usb2="00000000" w:usb3="00000000" w:csb0="6000009F" w:csb1="DFD70000"/>
  </w:font>
  <w:font w:name="Noto Sans CJK SC Regular">
    <w:altName w:val="宋体"/>
    <w:panose1 w:val="020B0500000000000000"/>
    <w:charset w:val="86"/>
    <w:family w:val="auto"/>
    <w:pitch w:val="default"/>
    <w:sig w:usb0="00000000" w:usb1="00000000" w:usb2="00000016" w:usb3="00000000" w:csb0="602E0107" w:csb1="00000000"/>
  </w:font>
  <w:font w:name="方正小标宋简体">
    <w:altName w:val="黑体"/>
    <w:panose1 w:val="02000000000000000000"/>
    <w:charset w:val="86"/>
    <w:family w:val="auto"/>
    <w:pitch w:val="default"/>
    <w:sig w:usb0="00000000" w:usb1="00000000" w:usb2="00000012" w:usb3="00000000" w:csb0="00040001" w:csb1="00000000"/>
    <w:embedRegular r:id="rId2" w:fontKey="{74E5E939-1B07-4A4E-B796-1A085FB99215}"/>
  </w:font>
  <w:font w:name="楷体_GB2312">
    <w:altName w:val="楷体"/>
    <w:panose1 w:val="02010609030101010101"/>
    <w:charset w:val="86"/>
    <w:family w:val="auto"/>
    <w:pitch w:val="default"/>
    <w:sig w:usb0="00000000" w:usb1="00000000" w:usb2="00000000" w:usb3="00000000" w:csb0="00040000" w:csb1="00000000"/>
    <w:embedRegular r:id="rId3" w:fontKey="{DB96CCF7-58BA-4CB2-91A6-9820855627BA}"/>
  </w:font>
  <w:font w:name="仿宋_GB2312">
    <w:altName w:val="仿宋"/>
    <w:panose1 w:val="02010609030101010101"/>
    <w:charset w:val="86"/>
    <w:family w:val="modern"/>
    <w:pitch w:val="default"/>
    <w:sig w:usb0="00000000" w:usb1="00000000" w:usb2="00000000" w:usb3="00000000" w:csb0="00040000" w:csb1="00000000"/>
    <w:embedRegular r:id="rId4" w:fontKey="{1DA74603-D119-4703-9C05-487ECF0F0056}"/>
  </w:font>
  <w:font w:name="楷体">
    <w:panose1 w:val="02010609060101010101"/>
    <w:charset w:val="86"/>
    <w:family w:val="modern"/>
    <w:pitch w:val="default"/>
    <w:sig w:usb0="800002BF" w:usb1="38CF7CFA" w:usb2="00000016" w:usb3="00000000" w:csb0="00040001" w:csb1="00000000"/>
    <w:embedRegular r:id="rId5" w:fontKey="{EACBF4D9-BD3E-472F-AEA4-CCCF90BC14B0}"/>
  </w:font>
  <w:font w:name="仿宋">
    <w:panose1 w:val="02010609060101010101"/>
    <w:charset w:val="86"/>
    <w:family w:val="modern"/>
    <w:pitch w:val="default"/>
    <w:sig w:usb0="800002BF" w:usb1="38CF7CFA" w:usb2="00000016" w:usb3="00000000" w:csb0="00040001" w:csb1="00000000"/>
    <w:embedRegular r:id="rId6" w:fontKey="{A172F053-024B-4C08-8CCD-A9BE291847A2}"/>
  </w:font>
  <w:font w:name="微软雅黑">
    <w:panose1 w:val="020B0503020204020204"/>
    <w:charset w:val="86"/>
    <w:family w:val="swiss"/>
    <w:pitch w:val="default"/>
    <w:sig w:usb0="80000287" w:usb1="280F3C52" w:usb2="00000016" w:usb3="00000000" w:csb0="0004001F" w:csb1="00000000"/>
    <w:embedRegular r:id="rId7" w:fontKey="{ADAA31FC-8DE1-478F-AFC9-26C49B9AB8C7}"/>
  </w:font>
  <w:font w:name="Vijaya">
    <w:panose1 w:val="020B0604020202020204"/>
    <w:charset w:val="00"/>
    <w:family w:val="auto"/>
    <w:pitch w:val="default"/>
    <w:sig w:usb0="001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p>
  <w:p>
    <w:pPr>
      <w:pStyle w:val="4"/>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a:effectLst/>
                    </wps:spPr>
                    <wps:txbx>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8</w:t>
                          </w:r>
                          <w:r>
                            <w:rPr>
                              <w:rFonts w:hint="eastAsia" w:ascii="宋体" w:hAnsi="宋体" w:cs="宋体"/>
                              <w:sz w:val="28"/>
                              <w:szCs w:val="28"/>
                            </w:rPr>
                            <w:fldChar w:fldCharType="end"/>
                          </w:r>
                          <w:r>
                            <w:rPr>
                              <w:rFonts w:hint="eastAsia" w:ascii="宋体" w:hAnsi="宋体" w:cs="宋体"/>
                              <w:sz w:val="28"/>
                              <w:szCs w:val="28"/>
                            </w:rPr>
                            <w:t xml:space="preserve"> —</w:t>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">
              <v:fill on="f" focussize="0,0"/>
              <v:stroke on="f"/>
              <v:imagedata o:title=""/>
              <o:lock v:ext="edit" aspectratio="f"/>
              <v:textbox inset="0mm,0mm,0mm,0mm" style="mso-fit-shape-to-text:t;">
                <w:txbxContent>
                  <w:p>
                    <w:pPr>
                      <w:pStyle w:val="4"/>
                      <w:rPr>
                        <w:rFonts w:ascii="宋体" w:hAnsi="宋体" w:cs="宋体"/>
                        <w:sz w:val="28"/>
                        <w:szCs w:val="28"/>
                      </w:rPr>
                    </w:pPr>
                    <w:r>
                      <w:rPr>
                        <w:rFonts w:hint="eastAsia" w:ascii="宋体" w:hAnsi="宋体" w:cs="宋体"/>
                        <w:sz w:val="28"/>
                        <w:szCs w:val="28"/>
                      </w:rPr>
                      <w:t xml:space="preserve">— </w:t>
                    </w:r>
                    <w:r>
                      <w:rPr>
                        <w:rFonts w:hint="eastAsia" w:ascii="宋体" w:hAnsi="宋体" w:cs="宋体"/>
                        <w:sz w:val="28"/>
                        <w:szCs w:val="28"/>
                      </w:rPr>
                      <w:fldChar w:fldCharType="begin"/>
                    </w:r>
                    <w:r>
                      <w:rPr>
                        <w:rFonts w:hint="eastAsia" w:ascii="宋体" w:hAnsi="宋体" w:cs="宋体"/>
                        <w:sz w:val="28"/>
                        <w:szCs w:val="28"/>
                      </w:rPr>
                      <w:instrText xml:space="preserve"> PAGE  \* MERGEFORMAT </w:instrText>
                    </w:r>
                    <w:r>
                      <w:rPr>
                        <w:rFonts w:hint="eastAsia" w:ascii="宋体" w:hAnsi="宋体" w:cs="宋体"/>
                        <w:sz w:val="28"/>
                        <w:szCs w:val="28"/>
                      </w:rPr>
                      <w:fldChar w:fldCharType="separate"/>
                    </w:r>
                    <w:r>
                      <w:rPr>
                        <w:rFonts w:ascii="宋体" w:hAnsi="宋体" w:cs="宋体"/>
                        <w:sz w:val="28"/>
                        <w:szCs w:val="28"/>
                      </w:rPr>
                      <w:t>8</w:t>
                    </w:r>
                    <w:r>
                      <w:rPr>
                        <w:rFonts w:hint="eastAsia" w:ascii="宋体" w:hAnsi="宋体" w:cs="宋体"/>
                        <w:sz w:val="28"/>
                        <w:szCs w:val="28"/>
                      </w:rPr>
                      <w:fldChar w:fldCharType="end"/>
                    </w:r>
                    <w:r>
                      <w:rPr>
                        <w:rFonts w:hint="eastAsia" w:ascii="宋体" w:hAnsi="宋体" w:cs="宋体"/>
                        <w:sz w:val="28"/>
                        <w:szCs w:val="28"/>
                      </w:rPr>
                      <w:t xml:space="preserve"> —</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pPr>
    <w:r>
      <w:rPr>
        <w:rFonts w:hint="eastAsia"/>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EE2D6BF"/>
    <w:multiLevelType w:val="singleLevel"/>
    <w:tmpl w:val="AEE2D6BF"/>
    <w:lvl w:ilvl="0" w:tentative="0">
      <w:start w:val="1"/>
      <w:numFmt w:val="chineseCounting"/>
      <w:suff w:val="nothing"/>
      <w:lvlText w:val="（%1）"/>
      <w:lvlJc w:val="left"/>
      <w:rPr>
        <w:rFonts w:hint="eastAsia"/>
      </w:rPr>
    </w:lvl>
  </w:abstractNum>
  <w:abstractNum w:abstractNumId="1">
    <w:nsid w:val="D4A443EC"/>
    <w:multiLevelType w:val="singleLevel"/>
    <w:tmpl w:val="D4A443EC"/>
    <w:lvl w:ilvl="0" w:tentative="0">
      <w:start w:val="11"/>
      <w:numFmt w:val="chineseCounting"/>
      <w:suff w:val="nothing"/>
      <w:lvlText w:val="%1、"/>
      <w:lvlJc w:val="left"/>
      <w:rPr>
        <w:rFonts w:hint="eastAsia"/>
      </w:rPr>
    </w:lvl>
  </w:abstractNum>
  <w:abstractNum w:abstractNumId="2">
    <w:nsid w:val="FB8C939E"/>
    <w:multiLevelType w:val="singleLevel"/>
    <w:tmpl w:val="FB8C939E"/>
    <w:lvl w:ilvl="0" w:tentative="0">
      <w:start w:val="2"/>
      <w:numFmt w:val="chineseCounting"/>
      <w:suff w:val="nothing"/>
      <w:lvlText w:val="（%1）"/>
      <w:lvlJc w:val="left"/>
      <w:rPr>
        <w:rFonts w:hint="eastAsia"/>
      </w:rPr>
    </w:lvl>
  </w:abstractNum>
  <w:abstractNum w:abstractNumId="3">
    <w:nsid w:val="FDBA8E69"/>
    <w:multiLevelType w:val="singleLevel"/>
    <w:tmpl w:val="FDBA8E69"/>
    <w:lvl w:ilvl="0" w:tentative="0">
      <w:start w:val="1"/>
      <w:numFmt w:val="chineseCounting"/>
      <w:suff w:val="nothing"/>
      <w:lvlText w:val="（%1）"/>
      <w:lvlJc w:val="left"/>
      <w:rPr>
        <w:rFonts w:hint="eastAsia"/>
      </w:rPr>
    </w:lvl>
  </w:abstractNum>
  <w:num w:numId="1">
    <w:abstractNumId w:val="2"/>
  </w:num>
  <w:num w:numId="2">
    <w:abstractNumId w:val="3"/>
  </w:num>
  <w:num w:numId="3">
    <w:abstractNumId w:val="1"/>
  </w:num>
  <w:num w:numId="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isplayBackgroundShape w:val="1"/>
  <w:embedTrueTypeFonts/>
  <w:saveSubsetFonts/>
  <w:documentProtection w:enforcement="0"/>
  <w:defaultTabStop w:val="420"/>
  <w:drawingGridHorizontalSpacing w:val="1"/>
  <w:drawingGridVerticalSpacing w:val="1"/>
  <w:doNotUseMarginsForDrawingGridOrigin w:val="1"/>
  <w:drawingGridHorizontalOrigin w:val="0"/>
  <w:drawingGridVerticalOrigin w:val="0"/>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A1ZGMzZWYzYTYxMGVkNDc3ZWI4MTJlZmRkYTExYWYifQ=="/>
  </w:docVars>
  <w:rsids>
    <w:rsidRoot w:val="00DE05E7"/>
    <w:rsid w:val="0036294F"/>
    <w:rsid w:val="007A1658"/>
    <w:rsid w:val="00DE05E7"/>
    <w:rsid w:val="00EB5332"/>
    <w:rsid w:val="00ED47B8"/>
    <w:rsid w:val="012352D1"/>
    <w:rsid w:val="02CB7F49"/>
    <w:rsid w:val="05AC22B4"/>
    <w:rsid w:val="05CD222A"/>
    <w:rsid w:val="08BD10D6"/>
    <w:rsid w:val="0B4E5BBB"/>
    <w:rsid w:val="0C1B5A9E"/>
    <w:rsid w:val="0C321039"/>
    <w:rsid w:val="0C4D5E73"/>
    <w:rsid w:val="0C5965C6"/>
    <w:rsid w:val="0D9E6BE5"/>
    <w:rsid w:val="0F0E7C1B"/>
    <w:rsid w:val="103A226A"/>
    <w:rsid w:val="10613C9B"/>
    <w:rsid w:val="11036B00"/>
    <w:rsid w:val="14465682"/>
    <w:rsid w:val="16907088"/>
    <w:rsid w:val="174A5489"/>
    <w:rsid w:val="180C0990"/>
    <w:rsid w:val="19B412DF"/>
    <w:rsid w:val="1ADD6614"/>
    <w:rsid w:val="1F7BF06F"/>
    <w:rsid w:val="1F9A2D26"/>
    <w:rsid w:val="1FEE4B73"/>
    <w:rsid w:val="22097CEF"/>
    <w:rsid w:val="22AD2D70"/>
    <w:rsid w:val="23CE9849"/>
    <w:rsid w:val="24B93C4E"/>
    <w:rsid w:val="25276E09"/>
    <w:rsid w:val="27EE1E60"/>
    <w:rsid w:val="27EE3791"/>
    <w:rsid w:val="27F531EF"/>
    <w:rsid w:val="29347D47"/>
    <w:rsid w:val="295126A7"/>
    <w:rsid w:val="2AD6555A"/>
    <w:rsid w:val="2B312790"/>
    <w:rsid w:val="2F832F4E"/>
    <w:rsid w:val="303625F7"/>
    <w:rsid w:val="3081431D"/>
    <w:rsid w:val="318F0210"/>
    <w:rsid w:val="32D07EF0"/>
    <w:rsid w:val="36E83F1F"/>
    <w:rsid w:val="37B564F7"/>
    <w:rsid w:val="392E6561"/>
    <w:rsid w:val="39317DFF"/>
    <w:rsid w:val="397FA321"/>
    <w:rsid w:val="39F304DD"/>
    <w:rsid w:val="3AB7F025"/>
    <w:rsid w:val="3CC50F8A"/>
    <w:rsid w:val="40036459"/>
    <w:rsid w:val="40B437EF"/>
    <w:rsid w:val="41F61BE6"/>
    <w:rsid w:val="42E87780"/>
    <w:rsid w:val="435A7F52"/>
    <w:rsid w:val="439416B6"/>
    <w:rsid w:val="454B0EBC"/>
    <w:rsid w:val="471F0738"/>
    <w:rsid w:val="49BF6D61"/>
    <w:rsid w:val="4DA62712"/>
    <w:rsid w:val="4DCB2178"/>
    <w:rsid w:val="505446A7"/>
    <w:rsid w:val="538452A3"/>
    <w:rsid w:val="54244390"/>
    <w:rsid w:val="54662A63"/>
    <w:rsid w:val="56FBCEA1"/>
    <w:rsid w:val="58064E12"/>
    <w:rsid w:val="5B4F263B"/>
    <w:rsid w:val="5B9F3390"/>
    <w:rsid w:val="5BFEE015"/>
    <w:rsid w:val="5E443FAD"/>
    <w:rsid w:val="628F4A67"/>
    <w:rsid w:val="63EDCF55"/>
    <w:rsid w:val="63FBFBCF"/>
    <w:rsid w:val="667F5D23"/>
    <w:rsid w:val="669360FD"/>
    <w:rsid w:val="67323463"/>
    <w:rsid w:val="68FF6A83"/>
    <w:rsid w:val="6A10568B"/>
    <w:rsid w:val="6BD44496"/>
    <w:rsid w:val="6CF7668E"/>
    <w:rsid w:val="6FBBC9CF"/>
    <w:rsid w:val="71C56D5B"/>
    <w:rsid w:val="725E2D0C"/>
    <w:rsid w:val="72BDE561"/>
    <w:rsid w:val="7767CC6C"/>
    <w:rsid w:val="78462278"/>
    <w:rsid w:val="78D37FAF"/>
    <w:rsid w:val="797054A4"/>
    <w:rsid w:val="7997EA6C"/>
    <w:rsid w:val="7AAF05A8"/>
    <w:rsid w:val="7AEAE675"/>
    <w:rsid w:val="7AFAE4B8"/>
    <w:rsid w:val="7BAE0860"/>
    <w:rsid w:val="7BAFCE5D"/>
    <w:rsid w:val="7CF6884E"/>
    <w:rsid w:val="7D46598C"/>
    <w:rsid w:val="7DFB240B"/>
    <w:rsid w:val="7DFF45E2"/>
    <w:rsid w:val="7E0935ED"/>
    <w:rsid w:val="7FCF2AF7"/>
    <w:rsid w:val="7FD35399"/>
    <w:rsid w:val="7FFD1AE8"/>
    <w:rsid w:val="9FEF033D"/>
    <w:rsid w:val="A27FF1E5"/>
    <w:rsid w:val="ACEFD5F6"/>
    <w:rsid w:val="AF5E6EF5"/>
    <w:rsid w:val="AFDEB5A7"/>
    <w:rsid w:val="AFEA7FBF"/>
    <w:rsid w:val="B83F4767"/>
    <w:rsid w:val="BBFFC584"/>
    <w:rsid w:val="BF4755DF"/>
    <w:rsid w:val="BF930F07"/>
    <w:rsid w:val="BFCE8436"/>
    <w:rsid w:val="C3F7EB7A"/>
    <w:rsid w:val="CFF5FEEC"/>
    <w:rsid w:val="D3DD9064"/>
    <w:rsid w:val="D6F76A0C"/>
    <w:rsid w:val="D7ECE8D2"/>
    <w:rsid w:val="DA99C724"/>
    <w:rsid w:val="DC9F06D8"/>
    <w:rsid w:val="DFC72A7B"/>
    <w:rsid w:val="DFDD4FB5"/>
    <w:rsid w:val="E7F748B5"/>
    <w:rsid w:val="ED7F80D5"/>
    <w:rsid w:val="ED9F51B1"/>
    <w:rsid w:val="EE5F3713"/>
    <w:rsid w:val="EEFA8F01"/>
    <w:rsid w:val="EFC9D62C"/>
    <w:rsid w:val="F6BE9755"/>
    <w:rsid w:val="F6FFA89B"/>
    <w:rsid w:val="F7EB70D9"/>
    <w:rsid w:val="F9DF1DE3"/>
    <w:rsid w:val="FAAE2076"/>
    <w:rsid w:val="FACCFBB7"/>
    <w:rsid w:val="FAE4EFE1"/>
    <w:rsid w:val="FB9B6F12"/>
    <w:rsid w:val="FBB66A4A"/>
    <w:rsid w:val="FCDEBC7B"/>
    <w:rsid w:val="FDEE6989"/>
    <w:rsid w:val="FF5E7DB8"/>
    <w:rsid w:val="FF77E367"/>
    <w:rsid w:val="FFBFEB95"/>
    <w:rsid w:val="FFD576EB"/>
    <w:rsid w:val="FFFBE8B7"/>
    <w:rsid w:val="FFFDCD5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EmbedSmartTag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nhideWhenUsed="0" w:uiPriority="0"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qFormat="1"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suppressAutoHyphens/>
      <w:jc w:val="both"/>
    </w:pPr>
    <w:rPr>
      <w:rFonts w:ascii="Calibri" w:hAnsi="Calibri" w:eastAsia="宋体" w:cs="Times New Roman"/>
      <w:kern w:val="2"/>
      <w:sz w:val="21"/>
      <w:szCs w:val="24"/>
      <w:lang w:val="en-US" w:eastAsia="zh-CN" w:bidi="ar-SA"/>
    </w:rPr>
  </w:style>
  <w:style w:type="character" w:default="1" w:styleId="9">
    <w:name w:val="Default Paragraph Font"/>
    <w:autoRedefine/>
    <w:semiHidden/>
    <w:unhideWhenUsed/>
    <w:qFormat/>
    <w:uiPriority w:val="1"/>
  </w:style>
  <w:style w:type="table" w:default="1" w:styleId="8">
    <w:name w:val="Normal Table"/>
    <w:autoRedefine/>
    <w:semiHidden/>
    <w:unhideWhenUsed/>
    <w:qFormat/>
    <w:uiPriority w:val="99"/>
    <w:tblPr>
      <w:tblCellMar>
        <w:top w:w="0" w:type="dxa"/>
        <w:left w:w="108" w:type="dxa"/>
        <w:bottom w:w="0" w:type="dxa"/>
        <w:right w:w="108" w:type="dxa"/>
      </w:tblCellMar>
    </w:tblPr>
  </w:style>
  <w:style w:type="paragraph" w:styleId="2">
    <w:name w:val="caption"/>
    <w:basedOn w:val="1"/>
    <w:next w:val="1"/>
    <w:autoRedefine/>
    <w:qFormat/>
    <w:uiPriority w:val="0"/>
    <w:pPr>
      <w:suppressLineNumbers/>
      <w:spacing w:before="120" w:after="120"/>
    </w:pPr>
    <w:rPr>
      <w:i/>
      <w:iCs/>
      <w:sz w:val="24"/>
    </w:rPr>
  </w:style>
  <w:style w:type="paragraph" w:styleId="3">
    <w:name w:val="Body Text"/>
    <w:basedOn w:val="1"/>
    <w:autoRedefine/>
    <w:qFormat/>
    <w:uiPriority w:val="0"/>
    <w:pPr>
      <w:spacing w:after="140" w:line="276" w:lineRule="auto"/>
    </w:pPr>
  </w:style>
  <w:style w:type="paragraph" w:styleId="4">
    <w:name w:val="footer"/>
    <w:basedOn w:val="1"/>
    <w:autoRedefine/>
    <w:qFormat/>
    <w:uiPriority w:val="0"/>
    <w:pPr>
      <w:tabs>
        <w:tab w:val="center" w:pos="4153"/>
        <w:tab w:val="right" w:pos="8306"/>
      </w:tabs>
      <w:snapToGrid w:val="0"/>
      <w:jc w:val="left"/>
    </w:pPr>
    <w:rPr>
      <w:sz w:val="18"/>
    </w:rPr>
  </w:style>
  <w:style w:type="paragraph" w:styleId="5">
    <w:name w:val="header"/>
    <w:basedOn w:val="1"/>
    <w:autoRedefine/>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paragraph" w:styleId="6">
    <w:name w:val="List"/>
    <w:basedOn w:val="3"/>
    <w:autoRedefine/>
    <w:qFormat/>
    <w:uiPriority w:val="0"/>
  </w:style>
  <w:style w:type="paragraph" w:styleId="7">
    <w:name w:val="Normal (Web)"/>
    <w:basedOn w:val="1"/>
    <w:autoRedefine/>
    <w:qFormat/>
    <w:uiPriority w:val="0"/>
    <w:rPr>
      <w:sz w:val="24"/>
    </w:rPr>
  </w:style>
  <w:style w:type="character" w:customStyle="1" w:styleId="10">
    <w:name w:val="默认段落字体1"/>
    <w:autoRedefine/>
    <w:qFormat/>
    <w:uiPriority w:val="0"/>
  </w:style>
  <w:style w:type="paragraph" w:customStyle="1" w:styleId="11">
    <w:name w:val="Heading"/>
    <w:basedOn w:val="1"/>
    <w:next w:val="3"/>
    <w:autoRedefine/>
    <w:qFormat/>
    <w:uiPriority w:val="0"/>
    <w:pPr>
      <w:keepNext/>
      <w:spacing w:before="240" w:after="120"/>
    </w:pPr>
    <w:rPr>
      <w:rFonts w:ascii="Liberation Sans" w:hAnsi="Liberation Sans" w:eastAsia="Noto Sans CJK SC Regular" w:cs="Noto Sans CJK SC Regular"/>
      <w:sz w:val="28"/>
      <w:szCs w:val="28"/>
    </w:rPr>
  </w:style>
  <w:style w:type="paragraph" w:customStyle="1" w:styleId="12">
    <w:name w:val="Index"/>
    <w:basedOn w:val="1"/>
    <w:autoRedefine/>
    <w:qFormat/>
    <w:uiPriority w:val="0"/>
    <w:pPr>
      <w:suppressLineNumbers/>
    </w:pPr>
  </w:style>
  <w:style w:type="paragraph" w:customStyle="1" w:styleId="13">
    <w:name w:val="WPSOffice手动目录 1"/>
    <w:autoRedefine/>
    <w:qFormat/>
    <w:uiPriority w:val="0"/>
    <w:pPr>
      <w:ind w:leftChars="0"/>
    </w:pPr>
    <w:rPr>
      <w:rFonts w:ascii="Times New Roman" w:hAnsi="Times New Roman" w:eastAsia="宋体" w:cs="Times New Roman"/>
      <w:sz w:val="20"/>
      <w:szCs w:val="20"/>
    </w:rPr>
  </w:style>
  <w:style w:type="paragraph" w:customStyle="1" w:styleId="14">
    <w:name w:val="WPSOffice手动目录 2"/>
    <w:autoRedefine/>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16</Pages>
  <Words>1094</Words>
  <Characters>6242</Characters>
  <Lines>52</Lines>
  <Paragraphs>14</Paragraphs>
  <TotalTime>0</TotalTime>
  <ScaleCrop>false</ScaleCrop>
  <LinksUpToDate>false</LinksUpToDate>
  <CharactersWithSpaces>7322</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2018-11-30T09:47:00Z</dcterms:created>
  <dc:creator>admin</dc:creator>
  <cp:lastModifiedBy>Miss.G</cp:lastModifiedBy>
  <dcterms:modified xsi:type="dcterms:W3CDTF">2024-02-18T08:43:27Z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6EA7721FEAE544FF8C90C5E225BEF26B_13</vt:lpwstr>
  </property>
</Properties>
</file>